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78AE" w14:textId="77777777" w:rsidR="007A33C9" w:rsidRDefault="00000000">
      <w:pPr>
        <w:rPr>
          <w:vanish/>
        </w:rPr>
      </w:pPr>
      <w:r>
        <w:fldChar w:fldCharType="begin"/>
      </w:r>
      <w:r>
        <w:instrText xml:space="preserve"> SEQ CHAPTER \h \r 1</w:instrText>
      </w:r>
      <w:r>
        <w:fldChar w:fldCharType="separate"/>
      </w:r>
      <w:r>
        <w:fldChar w:fldCharType="end"/>
      </w:r>
    </w:p>
    <w:p w14:paraId="2D1E5A7E"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0825EDB"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Volume 28, Issue 1    </w:t>
      </w:r>
    </w:p>
    <w:p w14:paraId="247DAB30"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Winter 2024</w:t>
      </w:r>
    </w:p>
    <w:p w14:paraId="041D09B0"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color w:val="0000FF"/>
          <w:sz w:val="22"/>
        </w:rPr>
      </w:pPr>
    </w:p>
    <w:p w14:paraId="69095B39"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color w:val="0000FF"/>
          <w:sz w:val="22"/>
        </w:rPr>
      </w:pPr>
    </w:p>
    <w:p w14:paraId="26FD7755"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color w:val="0000FF"/>
          <w:sz w:val="22"/>
        </w:rPr>
      </w:pPr>
      <w:r>
        <w:pict w14:anchorId="35BC8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15.8pt;mso-wrap-distance-left:9.3pt;mso-wrap-distance-top:0;mso-wrap-distance-right:9.3pt;mso-wrap-distance-bottom:0">
            <v:imagedata r:id="rId6" o:title="rId6"/>
          </v:shape>
        </w:pict>
      </w:r>
    </w:p>
    <w:p w14:paraId="64D7BCF6"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Papyrus" w:hAnsi="Papyrus"/>
          <w:b/>
          <w:color w:val="000000"/>
          <w:sz w:val="36"/>
        </w:rPr>
      </w:pPr>
      <w:r>
        <w:rPr>
          <w:rFonts w:ascii="Papyrus" w:hAnsi="Papyrus"/>
          <w:b/>
          <w:color w:val="000000"/>
          <w:sz w:val="36"/>
        </w:rPr>
        <w:t>JOURNAL</w:t>
      </w:r>
    </w:p>
    <w:p w14:paraId="43791557"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Papyrus" w:hAnsi="Papyrus"/>
          <w:color w:val="000000"/>
        </w:rPr>
      </w:pPr>
      <w:r>
        <w:rPr>
          <w:rFonts w:ascii="Papyrus" w:hAnsi="Papyrus"/>
          <w:color w:val="000000"/>
        </w:rPr>
        <w:t>For survivors of ritual abuse, mind control and torture, and pro-survivors</w:t>
      </w:r>
    </w:p>
    <w:p w14:paraId="17347AA2"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Papyrus" w:hAnsi="Papyrus"/>
          <w:color w:val="000000"/>
        </w:rPr>
      </w:pPr>
    </w:p>
    <w:p w14:paraId="53514C07"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rPr>
      </w:pPr>
      <w:r>
        <w:rPr>
          <w:rFonts w:ascii="Calibri" w:hAnsi="Calibri"/>
          <w:b/>
          <w:color w:val="000000"/>
        </w:rPr>
        <w:t>Copyright Information</w:t>
      </w:r>
    </w:p>
    <w:p w14:paraId="70DE84B4"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r>
        <w:rPr>
          <w:rFonts w:ascii="Calibri" w:hAnsi="Calibri"/>
          <w:color w:val="000000"/>
        </w:rPr>
        <w:t>SURVIVORSHIP JOURNAL, ISSN 046-2015, is published twice per year in Pacific Palisades, CA.</w:t>
      </w:r>
    </w:p>
    <w:p w14:paraId="2395D744"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p>
    <w:p w14:paraId="46701881"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r>
        <w:rPr>
          <w:rFonts w:ascii="Calibri" w:hAnsi="Calibri"/>
          <w:color w:val="000000"/>
        </w:rPr>
        <w:t xml:space="preserve">Copyright 2024 by Survivorship.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from the copyright owners. For permission to reprint, write: Survivorship 881 Alma Real Drive Ste 311 Pacific Palisades, CA </w:t>
      </w:r>
      <w:proofErr w:type="gramStart"/>
      <w:r>
        <w:rPr>
          <w:rFonts w:ascii="Calibri" w:hAnsi="Calibri"/>
          <w:color w:val="000000"/>
        </w:rPr>
        <w:t>90272</w:t>
      </w:r>
      <w:proofErr w:type="gramEnd"/>
      <w:r>
        <w:rPr>
          <w:rFonts w:ascii="Calibri" w:hAnsi="Calibri"/>
          <w:color w:val="000000"/>
        </w:rPr>
        <w:t xml:space="preserve">   or email </w:t>
      </w:r>
      <w:hyperlink r:id="rId7" w:history="1">
        <w:r>
          <w:rPr>
            <w:rStyle w:val="WPHyperlink"/>
            <w:rFonts w:ascii="Calibri" w:hAnsi="Calibri"/>
          </w:rPr>
          <w:t>info@survivorship.org</w:t>
        </w:r>
      </w:hyperlink>
    </w:p>
    <w:p w14:paraId="5568EDAB"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r>
        <w:rPr>
          <w:rFonts w:ascii="Calibri" w:hAnsi="Calibri"/>
          <w:color w:val="000000"/>
        </w:rPr>
        <w:br w:type="column"/>
      </w:r>
      <w:r>
        <w:rPr>
          <w:rFonts w:ascii="Calibri" w:hAnsi="Calibri"/>
          <w:color w:val="000000"/>
        </w:rPr>
        <w:fldChar w:fldCharType="begin"/>
      </w:r>
      <w:r>
        <w:rPr>
          <w:rFonts w:ascii="Calibri" w:hAnsi="Calibri"/>
          <w:color w:val="000000"/>
        </w:rPr>
        <w:instrText xml:space="preserve"> ADVANCE \d 5</w:instrText>
      </w:r>
      <w:r>
        <w:rPr>
          <w:rFonts w:ascii="Calibri" w:hAnsi="Calibri"/>
          <w:color w:val="000000"/>
        </w:rPr>
        <w:fldChar w:fldCharType="end"/>
      </w:r>
    </w:p>
    <w:p w14:paraId="3572AD09"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color w:val="000000"/>
        </w:rPr>
      </w:pPr>
      <w:r>
        <w:rPr>
          <w:color w:val="000000"/>
        </w:rPr>
        <w:fldChar w:fldCharType="begin"/>
      </w:r>
      <w:r>
        <w:rPr>
          <w:color w:val="000000"/>
        </w:rPr>
        <w:instrText xml:space="preserve"> ADVANCE \u 5</w:instrText>
      </w:r>
      <w:r>
        <w:rPr>
          <w:color w:val="000000"/>
        </w:rPr>
        <w:fldChar w:fldCharType="end"/>
      </w:r>
    </w:p>
    <w:p w14:paraId="0B650C0A"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color w:val="0000FF"/>
        </w:rPr>
      </w:pPr>
      <w:r>
        <w:rPr>
          <w:color w:val="0000FF"/>
        </w:rPr>
        <w:fldChar w:fldCharType="begin"/>
      </w:r>
      <w:r>
        <w:rPr>
          <w:color w:val="0000FF"/>
        </w:rPr>
        <w:instrText xml:space="preserve"> ADVANCE \u 5</w:instrText>
      </w:r>
      <w:r>
        <w:rPr>
          <w:color w:val="0000FF"/>
        </w:rPr>
        <w:fldChar w:fldCharType="end"/>
      </w:r>
    </w:p>
    <w:p w14:paraId="3E8B7FF9"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color w:val="0000FF"/>
        </w:rPr>
      </w:pPr>
      <w:r>
        <w:rPr>
          <w:color w:val="0000FF"/>
        </w:rPr>
        <w:fldChar w:fldCharType="begin"/>
      </w:r>
      <w:r>
        <w:rPr>
          <w:color w:val="0000FF"/>
        </w:rPr>
        <w:instrText xml:space="preserve"> ADVANCE \u 5</w:instrText>
      </w:r>
      <w:r>
        <w:rPr>
          <w:color w:val="0000FF"/>
        </w:rPr>
        <w:fldChar w:fldCharType="end"/>
      </w:r>
    </w:p>
    <w:p w14:paraId="08B950F9"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color w:val="0000FF"/>
        </w:rPr>
      </w:pPr>
      <w:r>
        <w:rPr>
          <w:color w:val="0000FF"/>
        </w:rPr>
        <w:fldChar w:fldCharType="begin"/>
      </w:r>
      <w:r>
        <w:rPr>
          <w:color w:val="0000FF"/>
        </w:rPr>
        <w:instrText xml:space="preserve"> ADVANCE \u 5</w:instrText>
      </w:r>
      <w:r>
        <w:rPr>
          <w:color w:val="0000FF"/>
        </w:rPr>
        <w:fldChar w:fldCharType="end"/>
      </w:r>
    </w:p>
    <w:p w14:paraId="486407F2"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Calibri" w:hAnsi="Calibri"/>
          <w:color w:val="0000FF"/>
        </w:rPr>
      </w:pPr>
      <w:r>
        <w:rPr>
          <w:color w:val="0000FF"/>
        </w:rPr>
        <w:fldChar w:fldCharType="begin"/>
      </w:r>
      <w:r>
        <w:rPr>
          <w:color w:val="0000FF"/>
        </w:rPr>
        <w:instrText xml:space="preserve"> ADVANCE \u 5</w:instrText>
      </w:r>
      <w:r>
        <w:rPr>
          <w:color w:val="0000FF"/>
        </w:rPr>
        <w:fldChar w:fldCharType="end"/>
      </w:r>
      <w:r>
        <w:rPr>
          <w:rFonts w:ascii="Calibri" w:hAnsi="Calibri"/>
          <w:color w:val="000000"/>
        </w:rPr>
        <w:t>Dear survivors, therapists treating surviving victims, support people and others:</w:t>
      </w:r>
    </w:p>
    <w:p w14:paraId="40919E30"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color w:val="0000FF"/>
        </w:rPr>
      </w:pPr>
      <w:r>
        <w:rPr>
          <w:color w:val="0000FF"/>
        </w:rPr>
        <w:fldChar w:fldCharType="begin"/>
      </w:r>
      <w:r>
        <w:rPr>
          <w:color w:val="0000FF"/>
        </w:rPr>
        <w:instrText xml:space="preserve"> ADVANCE \u 5</w:instrText>
      </w:r>
      <w:r>
        <w:rPr>
          <w:color w:val="0000FF"/>
        </w:rPr>
        <w:fldChar w:fldCharType="end"/>
      </w:r>
    </w:p>
    <w:p w14:paraId="2D6E7806"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Calibri" w:hAnsi="Calibri"/>
          <w:color w:val="0000FF"/>
        </w:rPr>
      </w:pPr>
      <w:r>
        <w:rPr>
          <w:color w:val="0000FF"/>
        </w:rPr>
        <w:fldChar w:fldCharType="begin"/>
      </w:r>
      <w:r>
        <w:rPr>
          <w:color w:val="0000FF"/>
        </w:rPr>
        <w:instrText xml:space="preserve"> ADVANCE \u 5</w:instrText>
      </w:r>
      <w:r>
        <w:rPr>
          <w:color w:val="0000FF"/>
        </w:rPr>
        <w:fldChar w:fldCharType="end"/>
      </w:r>
      <w:r>
        <w:rPr>
          <w:rFonts w:ascii="Calibri" w:hAnsi="Calibri"/>
          <w:color w:val="000000"/>
        </w:rPr>
        <w:t>In this issue we have articles by Dr. Randy Noblitt, Wendy Hoffman, and Neil Brick.</w:t>
      </w:r>
    </w:p>
    <w:p w14:paraId="01FF36D4"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Calibri" w:hAnsi="Calibri"/>
          <w:color w:val="0000FF"/>
        </w:rPr>
      </w:pPr>
      <w:r>
        <w:rPr>
          <w:color w:val="0000FF"/>
        </w:rPr>
        <w:fldChar w:fldCharType="begin"/>
      </w:r>
      <w:r>
        <w:rPr>
          <w:color w:val="0000FF"/>
        </w:rPr>
        <w:instrText xml:space="preserve"> ADVANCE \u 5</w:instrText>
      </w:r>
      <w:r>
        <w:rPr>
          <w:color w:val="0000FF"/>
        </w:rPr>
        <w:fldChar w:fldCharType="end"/>
      </w:r>
      <w:r>
        <w:rPr>
          <w:rFonts w:ascii="Calibri" w:hAnsi="Calibri"/>
          <w:color w:val="000000"/>
        </w:rPr>
        <w:t xml:space="preserve"> </w:t>
      </w:r>
    </w:p>
    <w:p w14:paraId="36E722C8"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Calibri" w:hAnsi="Calibri"/>
          <w:color w:val="0000FF"/>
        </w:rPr>
      </w:pPr>
      <w:r>
        <w:rPr>
          <w:color w:val="0000FF"/>
        </w:rPr>
        <w:fldChar w:fldCharType="begin"/>
      </w:r>
      <w:r>
        <w:rPr>
          <w:color w:val="0000FF"/>
        </w:rPr>
        <w:instrText xml:space="preserve"> ADVANCE \u 5</w:instrText>
      </w:r>
      <w:r>
        <w:rPr>
          <w:color w:val="0000FF"/>
        </w:rPr>
        <w:fldChar w:fldCharType="end"/>
      </w:r>
      <w:r>
        <w:rPr>
          <w:rFonts w:ascii="Calibri" w:hAnsi="Calibri"/>
          <w:color w:val="000000"/>
        </w:rPr>
        <w:t>The Survivorship Trafficking and Extreme Abuse Online Conference 2024</w:t>
      </w:r>
    </w:p>
    <w:p w14:paraId="5C2E1C3D"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Calibri" w:hAnsi="Calibri"/>
          <w:color w:val="0000FF"/>
        </w:rPr>
      </w:pPr>
      <w:r>
        <w:rPr>
          <w:color w:val="0000FF"/>
        </w:rPr>
        <w:fldChar w:fldCharType="begin"/>
      </w:r>
      <w:r>
        <w:rPr>
          <w:color w:val="0000FF"/>
        </w:rPr>
        <w:instrText xml:space="preserve"> ADVANCE \u 5</w:instrText>
      </w:r>
      <w:r>
        <w:rPr>
          <w:color w:val="0000FF"/>
        </w:rPr>
        <w:fldChar w:fldCharType="end"/>
      </w:r>
      <w:r>
        <w:rPr>
          <w:rFonts w:ascii="Calibri" w:hAnsi="Calibri"/>
          <w:color w:val="000000"/>
        </w:rPr>
        <w:t>Survivor Conference - May 4 - 5, 2024</w:t>
      </w:r>
    </w:p>
    <w:p w14:paraId="6FFE28DF"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Calibri" w:hAnsi="Calibri"/>
          <w:color w:val="0000FF"/>
        </w:rPr>
      </w:pPr>
      <w:r>
        <w:rPr>
          <w:color w:val="0000FF"/>
        </w:rPr>
        <w:fldChar w:fldCharType="begin"/>
      </w:r>
      <w:r>
        <w:rPr>
          <w:color w:val="0000FF"/>
        </w:rPr>
        <w:instrText xml:space="preserve"> ADVANCE \u 5</w:instrText>
      </w:r>
      <w:r>
        <w:rPr>
          <w:color w:val="0000FF"/>
        </w:rPr>
        <w:fldChar w:fldCharType="end"/>
      </w:r>
      <w:r>
        <w:rPr>
          <w:rFonts w:ascii="Calibri" w:hAnsi="Calibri"/>
          <w:color w:val="000000"/>
        </w:rPr>
        <w:t>Clinician's Conference - Friday May 3, 2024</w:t>
      </w:r>
    </w:p>
    <w:p w14:paraId="0472F59E" w14:textId="77777777" w:rsidR="007A33C9" w:rsidRDefault="00000000">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rPr>
          <w:rFonts w:ascii="Calibri" w:hAnsi="Calibri"/>
          <w:color w:val="0000FF"/>
        </w:rPr>
      </w:pPr>
      <w:r>
        <w:rPr>
          <w:color w:val="0000FF"/>
        </w:rPr>
        <w:fldChar w:fldCharType="begin"/>
      </w:r>
      <w:r>
        <w:rPr>
          <w:color w:val="0000FF"/>
        </w:rPr>
        <w:instrText xml:space="preserve"> ADVANCE \u 5</w:instrText>
      </w:r>
      <w:r>
        <w:rPr>
          <w:color w:val="0000FF"/>
        </w:rPr>
        <w:fldChar w:fldCharType="end"/>
      </w:r>
      <w:hyperlink r:id="rId8" w:history="1">
        <w:r>
          <w:rPr>
            <w:rStyle w:val="WPHyperlink"/>
            <w:rFonts w:ascii="Calibri" w:hAnsi="Calibri"/>
          </w:rPr>
          <w:t>https://survivorship.org/the-survivorship-trafficking-and-extreme-abuse-online-conference-2024</w:t>
        </w:r>
      </w:hyperlink>
      <w:r>
        <w:rPr>
          <w:rFonts w:ascii="Calibri" w:hAnsi="Calibri"/>
          <w:b/>
          <w:color w:val="000000"/>
        </w:rPr>
        <w:t xml:space="preserve"> </w:t>
      </w:r>
    </w:p>
    <w:p w14:paraId="49455297"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rPr>
          <w:rFonts w:ascii="Calibri" w:hAnsi="Calibri"/>
          <w:color w:val="000000"/>
          <w:sz w:val="22"/>
        </w:rPr>
      </w:pPr>
      <w:r>
        <w:rPr>
          <w:rFonts w:ascii="Calibri" w:hAnsi="Calibri"/>
          <w:b/>
          <w:color w:val="000000"/>
          <w:sz w:val="22"/>
        </w:rPr>
        <w:t xml:space="preserve">The Survivorship of Extreme or Ritualistic Abuse 2023 Online Conference Presentations - Videos and PDFs online  </w:t>
      </w:r>
      <w:hyperlink r:id="rId9" w:history="1">
        <w:r>
          <w:rPr>
            <w:rStyle w:val="WPHyperlink"/>
            <w:rFonts w:ascii="Calibri" w:hAnsi="Calibri"/>
            <w:sz w:val="22"/>
          </w:rPr>
          <w:t xml:space="preserve">https://survivorship.org/the-survivorship-ritual-abuse-and-mind-control-2023-conference-presentations/ </w:t>
        </w:r>
      </w:hyperlink>
      <w:r>
        <w:rPr>
          <w:rFonts w:ascii="Calibri" w:hAnsi="Calibri"/>
          <w:color w:val="000000"/>
          <w:sz w:val="22"/>
        </w:rPr>
        <w:t xml:space="preserve">  Dr. Randy Noblitt, Dr. Ellen </w:t>
      </w:r>
      <w:proofErr w:type="spellStart"/>
      <w:r>
        <w:rPr>
          <w:rFonts w:ascii="Calibri" w:hAnsi="Calibri"/>
          <w:color w:val="000000"/>
          <w:sz w:val="22"/>
        </w:rPr>
        <w:t>Lacter</w:t>
      </w:r>
      <w:proofErr w:type="spellEnd"/>
      <w:r>
        <w:rPr>
          <w:rFonts w:ascii="Calibri" w:hAnsi="Calibri"/>
          <w:color w:val="000000"/>
          <w:sz w:val="22"/>
        </w:rPr>
        <w:t>, Dr. Rainer Hermann Kurz, Neil Brick, Lynn Brunet, Shelby Rising Eagle and Patricia Quinn</w:t>
      </w:r>
    </w:p>
    <w:p w14:paraId="037E3A6F"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vanish/>
          <w:color w:val="000000"/>
          <w:sz w:val="22"/>
        </w:rPr>
      </w:pPr>
      <w:r>
        <w:rPr>
          <w:rFonts w:ascii="Calibri" w:hAnsi="Calibri"/>
          <w:color w:val="000000"/>
          <w:sz w:val="22"/>
        </w:rPr>
        <w:br w:type="column"/>
      </w:r>
    </w:p>
    <w:p w14:paraId="1C94640E" w14:textId="77777777" w:rsidR="007A33C9" w:rsidRDefault="007A33C9">
      <w:pPr>
        <w:pStyle w:val="WP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 w:val="22"/>
        </w:rPr>
      </w:pPr>
    </w:p>
    <w:p w14:paraId="03CF3B9D"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402EB74C" w14:textId="77777777" w:rsidR="007A33C9" w:rsidRDefault="007A33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5B3AC077" w14:textId="77777777" w:rsidR="007A33C9" w:rsidRDefault="007A33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ectPr w:rsidR="007A33C9" w:rsidSect="000A2CE3">
          <w:headerReference w:type="even" r:id="rId10"/>
          <w:headerReference w:type="default" r:id="rId11"/>
          <w:footerReference w:type="even" r:id="rId12"/>
          <w:footerReference w:type="default" r:id="rId13"/>
          <w:pgSz w:w="12240" w:h="15840"/>
          <w:pgMar w:top="1000" w:right="1440" w:bottom="1000" w:left="1440" w:header="720" w:footer="720" w:gutter="0"/>
          <w:cols w:num="2" w:space="720"/>
        </w:sectPr>
      </w:pPr>
    </w:p>
    <w:p w14:paraId="77F6779C" w14:textId="77777777" w:rsidR="007A33C9" w:rsidRDefault="0000000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        </w:t>
      </w:r>
      <w:r>
        <w:rPr>
          <w:color w:val="000000"/>
        </w:rPr>
        <w:tab/>
        <w:t>Table of Contents</w:t>
      </w:r>
    </w:p>
    <w:p w14:paraId="45578878"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color w:val="000000"/>
          <w:sz w:val="22"/>
        </w:rPr>
      </w:pPr>
    </w:p>
    <w:p w14:paraId="4A1B338B"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rFonts w:ascii="Calibri" w:hAnsi="Calibri"/>
          <w:b/>
          <w:color w:val="000000"/>
        </w:rPr>
      </w:pPr>
      <w:r>
        <w:rPr>
          <w:rFonts w:ascii="Calibri" w:hAnsi="Calibri"/>
          <w:b/>
          <w:color w:val="000000"/>
        </w:rPr>
        <w:t>Page</w:t>
      </w:r>
      <w:r>
        <w:rPr>
          <w:rFonts w:ascii="Calibri" w:hAnsi="Calibri"/>
          <w:b/>
          <w:color w:val="000000"/>
        </w:rPr>
        <w:tab/>
      </w:r>
      <w:r>
        <w:rPr>
          <w:rFonts w:ascii="Calibri" w:hAnsi="Calibri"/>
          <w:b/>
          <w:color w:val="000000"/>
        </w:rPr>
        <w:tab/>
        <w:t>Title and Author</w:t>
      </w:r>
    </w:p>
    <w:p w14:paraId="10952E12"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rFonts w:ascii="Calibri" w:hAnsi="Calibri"/>
          <w:b/>
          <w:color w:val="000000"/>
        </w:rPr>
      </w:pPr>
    </w:p>
    <w:p w14:paraId="46152275"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color w:val="000000"/>
        </w:rPr>
      </w:pPr>
      <w:r>
        <w:rPr>
          <w:rFonts w:ascii="Calibri" w:hAnsi="Calibri"/>
          <w:b/>
          <w:color w:val="000000"/>
        </w:rPr>
        <w:t xml:space="preserve">2 </w:t>
      </w:r>
      <w:r>
        <w:rPr>
          <w:rFonts w:ascii="Calibri" w:hAnsi="Calibri"/>
          <w:b/>
          <w:color w:val="000000"/>
        </w:rPr>
        <w:tab/>
      </w:r>
      <w:r>
        <w:rPr>
          <w:rFonts w:ascii="Calibri" w:hAnsi="Calibri"/>
          <w:b/>
          <w:color w:val="000000"/>
        </w:rPr>
        <w:tab/>
        <w:t>Trauma-Informed Care</w:t>
      </w:r>
      <w:r>
        <w:rPr>
          <w:rFonts w:ascii="Calibri" w:hAnsi="Calibri"/>
          <w:b/>
          <w:color w:val="000000"/>
        </w:rPr>
        <w:tab/>
      </w:r>
    </w:p>
    <w:p w14:paraId="33D7CC01" w14:textId="77777777" w:rsidR="007A33C9"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firstLine="720"/>
        <w:rPr>
          <w:rFonts w:ascii="Calibri" w:hAnsi="Calibri"/>
          <w:color w:val="000000"/>
        </w:rPr>
      </w:pPr>
      <w:r>
        <w:rPr>
          <w:rFonts w:ascii="Calibri" w:hAnsi="Calibri"/>
          <w:color w:val="000000"/>
        </w:rPr>
        <w:t>Dr. Randy Noblitt</w:t>
      </w:r>
    </w:p>
    <w:p w14:paraId="78BA129C"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rFonts w:ascii="Calibri" w:hAnsi="Calibri"/>
          <w:b/>
          <w:color w:val="000000"/>
        </w:rPr>
      </w:pPr>
    </w:p>
    <w:p w14:paraId="1568D91E"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rFonts w:ascii="Calibri" w:hAnsi="Calibri"/>
          <w:b/>
          <w:color w:val="000000"/>
        </w:rPr>
      </w:pPr>
      <w:r>
        <w:rPr>
          <w:rFonts w:ascii="Calibri" w:hAnsi="Calibri"/>
          <w:b/>
          <w:color w:val="000000"/>
        </w:rPr>
        <w:t>5</w:t>
      </w:r>
      <w:r>
        <w:rPr>
          <w:rFonts w:ascii="Calibri" w:hAnsi="Calibri"/>
          <w:b/>
          <w:color w:val="000000"/>
        </w:rPr>
        <w:tab/>
      </w:r>
      <w:r>
        <w:rPr>
          <w:rFonts w:ascii="Calibri" w:hAnsi="Calibri"/>
          <w:b/>
          <w:color w:val="000000"/>
        </w:rPr>
        <w:tab/>
        <w:t xml:space="preserve">Selection from </w:t>
      </w:r>
      <w:r>
        <w:rPr>
          <w:rFonts w:ascii="Calibri" w:hAnsi="Calibri"/>
          <w:b/>
          <w:i/>
          <w:color w:val="000000"/>
        </w:rPr>
        <w:t>After Amnesia</w:t>
      </w:r>
      <w:r>
        <w:rPr>
          <w:rFonts w:ascii="Calibri" w:hAnsi="Calibri"/>
          <w:b/>
          <w:color w:val="000000"/>
        </w:rPr>
        <w:t xml:space="preserve">  </w:t>
      </w:r>
    </w:p>
    <w:p w14:paraId="725E23D8"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rFonts w:ascii="Calibri" w:hAnsi="Calibri"/>
          <w:color w:val="000000"/>
        </w:rPr>
      </w:pPr>
      <w:r>
        <w:rPr>
          <w:rFonts w:ascii="Calibri" w:hAnsi="Calibri"/>
          <w:b/>
          <w:color w:val="000000"/>
        </w:rPr>
        <w:tab/>
      </w:r>
      <w:r>
        <w:rPr>
          <w:rFonts w:ascii="Calibri" w:hAnsi="Calibri"/>
          <w:b/>
          <w:color w:val="000000"/>
        </w:rPr>
        <w:tab/>
      </w:r>
      <w:r>
        <w:rPr>
          <w:rFonts w:ascii="Calibri" w:hAnsi="Calibri"/>
          <w:color w:val="000000"/>
        </w:rPr>
        <w:t>Wendy Hoffman</w:t>
      </w:r>
    </w:p>
    <w:p w14:paraId="20920E68" w14:textId="77777777" w:rsidR="007A33C9" w:rsidRDefault="007A3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rFonts w:ascii="Calibri" w:hAnsi="Calibri"/>
          <w:b/>
          <w:color w:val="000000"/>
        </w:rPr>
      </w:pPr>
    </w:p>
    <w:p w14:paraId="1E3F65DA"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rPr>
          <w:color w:val="000000"/>
        </w:rPr>
      </w:pPr>
      <w:r>
        <w:rPr>
          <w:rFonts w:ascii="Calibri" w:hAnsi="Calibri"/>
          <w:b/>
          <w:color w:val="000000"/>
        </w:rPr>
        <w:t>8</w:t>
      </w:r>
      <w:r>
        <w:rPr>
          <w:rFonts w:ascii="Calibri" w:hAnsi="Calibri"/>
          <w:b/>
          <w:color w:val="000000"/>
        </w:rPr>
        <w:tab/>
      </w:r>
      <w:r>
        <w:rPr>
          <w:rFonts w:ascii="Calibri" w:hAnsi="Calibri"/>
          <w:b/>
          <w:color w:val="000000"/>
        </w:rPr>
        <w:tab/>
        <w:t xml:space="preserve">Ritual Abuse, Sex Trafficking and Mind Control    </w:t>
      </w:r>
    </w:p>
    <w:p w14:paraId="01332D46" w14:textId="77777777" w:rsidR="007A33C9" w:rsidRDefault="000000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firstLine="720"/>
        <w:rPr>
          <w:rFonts w:ascii="Calibri" w:hAnsi="Calibri"/>
          <w:color w:val="000000"/>
        </w:rPr>
      </w:pPr>
      <w:r>
        <w:rPr>
          <w:rFonts w:ascii="Calibri" w:hAnsi="Calibri"/>
          <w:color w:val="000000"/>
        </w:rPr>
        <w:t>Neil Brick</w:t>
      </w:r>
    </w:p>
    <w:p w14:paraId="235C7813" w14:textId="77777777" w:rsidR="007A33C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r>
        <w:rPr>
          <w:rFonts w:ascii="Calibri" w:hAnsi="Calibri"/>
          <w:color w:val="000000"/>
          <w:sz w:val="22"/>
        </w:rPr>
        <w:tab/>
      </w:r>
      <w:r>
        <w:rPr>
          <w:rFonts w:ascii="Calibri" w:hAnsi="Calibri"/>
          <w:color w:val="000000"/>
        </w:rPr>
        <w:t xml:space="preserve"> </w:t>
      </w:r>
    </w:p>
    <w:p w14:paraId="5181C82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7AE9A42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62C2E05A"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6A1FD1AD"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7C7B4F7B"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614DE97"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F041514"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16E5BFA2"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0F6EA128"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1F148763"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3AD742B"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1D7B4381"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E02720C"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499035A5"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15C7E8D"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2DA1DC3F"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357DB4BF"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3B81C26E"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14026C56"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37D2CF6"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2C16DBA1"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54934C3A"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mbria" w:hAnsi="Cambria"/>
          <w:b/>
          <w:color w:val="000080"/>
          <w:sz w:val="28"/>
        </w:rPr>
      </w:pPr>
    </w:p>
    <w:p w14:paraId="704AD69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p>
    <w:p w14:paraId="7DEE5993"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p>
    <w:p w14:paraId="2E91637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color w:val="000000"/>
        </w:rPr>
      </w:pPr>
    </w:p>
    <w:p w14:paraId="1AA22CA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color w:val="000000"/>
        </w:rPr>
        <w:sectPr w:rsidR="007A33C9" w:rsidSect="000A2CE3">
          <w:headerReference w:type="even" r:id="rId14"/>
          <w:headerReference w:type="default" r:id="rId15"/>
          <w:footerReference w:type="even" r:id="rId16"/>
          <w:footerReference w:type="default" r:id="rId17"/>
          <w:type w:val="continuous"/>
          <w:pgSz w:w="12240" w:h="15840"/>
          <w:pgMar w:top="1480" w:right="1440" w:bottom="1480" w:left="1440" w:header="1440" w:footer="1440" w:gutter="0"/>
          <w:cols w:space="720"/>
        </w:sectPr>
      </w:pPr>
    </w:p>
    <w:p w14:paraId="38E49772"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b/>
          <w:color w:val="808080"/>
          <w:sz w:val="28"/>
        </w:rPr>
      </w:pPr>
      <w:r>
        <w:rPr>
          <w:rFonts w:ascii="Calibri" w:hAnsi="Calibri"/>
          <w:b/>
          <w:color w:val="808080"/>
          <w:sz w:val="28"/>
        </w:rPr>
        <w:lastRenderedPageBreak/>
        <w:t xml:space="preserve">Trauma-Informed Care  </w:t>
      </w:r>
    </w:p>
    <w:p w14:paraId="3492D02C"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color w:val="000000"/>
          <w:sz w:val="22"/>
        </w:rPr>
      </w:pPr>
      <w:r>
        <w:rPr>
          <w:rFonts w:ascii="Calibri" w:hAnsi="Calibri"/>
          <w:b/>
          <w:color w:val="000000"/>
        </w:rPr>
        <w:t>Randy Noblitt PhD</w:t>
      </w:r>
      <w:r>
        <w:rPr>
          <w:rFonts w:ascii="Calibri" w:hAnsi="Calibri"/>
          <w:color w:val="000000"/>
          <w:sz w:val="22"/>
        </w:rPr>
        <w:t xml:space="preserve"> </w:t>
      </w:r>
    </w:p>
    <w:p w14:paraId="7F490711"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b/>
          <w:color w:val="000000"/>
        </w:rPr>
      </w:pPr>
      <w:r>
        <w:rPr>
          <w:rFonts w:ascii="Calibri" w:hAnsi="Calibri"/>
          <w:b/>
          <w:color w:val="000000"/>
        </w:rPr>
        <w:t xml:space="preserve">Alliant International University </w:t>
      </w:r>
    </w:p>
    <w:p w14:paraId="2FA10446"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alibri" w:hAnsi="Calibri"/>
          <w:b/>
          <w:color w:val="000000"/>
        </w:rPr>
      </w:pPr>
      <w:r>
        <w:rPr>
          <w:rFonts w:ascii="Calibri" w:hAnsi="Calibri"/>
          <w:b/>
          <w:color w:val="000000"/>
        </w:rPr>
        <w:t>Los Angeles, California</w:t>
      </w:r>
    </w:p>
    <w:p w14:paraId="5A9769F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color w:val="000000"/>
        </w:rPr>
      </w:pPr>
    </w:p>
    <w:p w14:paraId="29BB30AA"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8" w:lineRule="auto"/>
        <w:jc w:val="both"/>
        <w:rPr>
          <w:rFonts w:ascii="Calibri" w:hAnsi="Calibri"/>
          <w:color w:val="000000"/>
        </w:rPr>
      </w:pPr>
      <w:r>
        <w:rPr>
          <w:rFonts w:ascii="Calibri" w:hAnsi="Calibri"/>
          <w:color w:val="000000"/>
        </w:rPr>
        <w:t xml:space="preserve">The phrase </w:t>
      </w:r>
      <w:r>
        <w:rPr>
          <w:rFonts w:ascii="Calibri" w:hAnsi="Calibri"/>
          <w:i/>
          <w:color w:val="000000"/>
        </w:rPr>
        <w:t>trauma-informed care</w:t>
      </w:r>
      <w:r>
        <w:rPr>
          <w:rFonts w:ascii="Calibri" w:hAnsi="Calibri"/>
          <w:color w:val="000000"/>
        </w:rPr>
        <w:t xml:space="preserve"> is increasingly popular. We read it mentioned in contemporary publications and hear it referenced in scholarly discussions and presentations. Trauma-informed care is being applied in numerous settings that include healthcare, mental health, schools, and facilities for incarceration (APA </w:t>
      </w:r>
      <w:proofErr w:type="gramStart"/>
      <w:r>
        <w:rPr>
          <w:rFonts w:ascii="Calibri" w:hAnsi="Calibri"/>
          <w:color w:val="000000"/>
        </w:rPr>
        <w:t>2015;  Aragón</w:t>
      </w:r>
      <w:proofErr w:type="gramEnd"/>
      <w:r>
        <w:rPr>
          <w:rFonts w:ascii="Calibri" w:hAnsi="Calibri"/>
          <w:color w:val="000000"/>
        </w:rPr>
        <w:t xml:space="preserve"> et al., 2024; McNally 2023). Although trauma-informed care is encouraged by the American Psychological Association (2015), few doctoral students in APA accredited programs appear to be getting much relevant training (Foltz et al. 2023).</w:t>
      </w:r>
      <w:r w:rsidR="00095394">
        <w:rPr>
          <w:rFonts w:ascii="Calibri" w:hAnsi="Calibri"/>
          <w:color w:val="000000"/>
        </w:rPr>
        <w:t xml:space="preserve">        </w:t>
      </w:r>
    </w:p>
    <w:p w14:paraId="6D43A7D7"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8" w:lineRule="auto"/>
        <w:jc w:val="both"/>
        <w:rPr>
          <w:rFonts w:ascii="Calibri" w:hAnsi="Calibri"/>
          <w:color w:val="000000"/>
        </w:rPr>
      </w:pPr>
    </w:p>
    <w:p w14:paraId="464CCB55"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8" w:lineRule="auto"/>
        <w:jc w:val="both"/>
        <w:rPr>
          <w:rFonts w:ascii="Calibri" w:hAnsi="Calibri"/>
          <w:color w:val="000000"/>
        </w:rPr>
      </w:pPr>
      <w:r>
        <w:rPr>
          <w:rFonts w:ascii="Calibri" w:hAnsi="Calibri"/>
          <w:color w:val="000000"/>
        </w:rPr>
        <w:t>Trauma factors into a variety of psychological disorders and conditions that otherwise one might not expect. For example, in a large sample of people diagnosed with bipolar disorder (577 participants) Samantha Russell and her colleagues found that “12 % (n =75) reported one trauma, 72 % (n =417) reported multiple traumas, and 14 % (n =85) had an identified comorbid diagnosis of PTSD” (2024, p. 278). The authors concluded that, “An important practical implication of this study is the need for trauma informed care in health care services, not only to improve the identification of trauma and PTSD in patients, but to improve health outcomes of the patients and their families” (2024, p. 280). Common problems in living such as insomnia are being seen as potentially related to trauma experiences (Fellman et al. 2021).</w:t>
      </w:r>
    </w:p>
    <w:p w14:paraId="0B216010"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jc w:val="both"/>
        <w:rPr>
          <w:rFonts w:ascii="Calibri" w:hAnsi="Calibri"/>
          <w:color w:val="000000"/>
        </w:rPr>
      </w:pPr>
    </w:p>
    <w:p w14:paraId="1A6EF3AC"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b/>
          <w:color w:val="000000"/>
        </w:rPr>
      </w:pPr>
      <w:r>
        <w:rPr>
          <w:rFonts w:ascii="Calibri" w:hAnsi="Calibri"/>
          <w:color w:val="000000"/>
        </w:rPr>
        <w:t xml:space="preserve">Another surprising thing about the literature of trauma-informed care is that it is difficult to find much information or commentary about extreme abuse. One exception is Dr. Cortny Stark’s informative case study of “Sarah” where the author described the details of a sophisticated trauma-informed approach. The author noted that “Clients who report complex childhood trauma, particularly ritual and cultic abuse, often present information in session that seems chaotic and emotionally charged. Providing clients with a rationale for both understanding their problem and the necessary treatment is essential to achieving positive outcomes” (Stark, 2019, p. 51). My question is how can clinicians be truly trauma-informed if they deny, neglect, or ignore extreme abuse? </w:t>
      </w:r>
    </w:p>
    <w:p w14:paraId="2D86C741" w14:textId="77777777" w:rsidR="00095394" w:rsidRDefault="00095394" w:rsidP="00095394">
      <w:pPr>
        <w:keepNext/>
        <w:keepLines/>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jc w:val="center"/>
        <w:rPr>
          <w:rFonts w:ascii="Calibri" w:hAnsi="Calibri"/>
          <w:b/>
          <w:color w:val="000000"/>
        </w:rPr>
      </w:pPr>
      <w:r>
        <w:rPr>
          <w:rFonts w:ascii="Calibri" w:hAnsi="Calibri"/>
          <w:b/>
          <w:color w:val="000000"/>
        </w:rPr>
        <w:t>References</w:t>
      </w:r>
    </w:p>
    <w:p w14:paraId="2696E42D" w14:textId="77777777" w:rsidR="00095394" w:rsidRDefault="00095394" w:rsidP="00095394">
      <w:pPr>
        <w:keepNext/>
        <w:keepLines/>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t xml:space="preserve">American Psychological Association. (2015). </w:t>
      </w:r>
      <w:r>
        <w:rPr>
          <w:rFonts w:ascii="Calibri" w:hAnsi="Calibri"/>
          <w:i/>
          <w:color w:val="000000"/>
        </w:rPr>
        <w:t>Guidelines on trauma competencies for education and training</w:t>
      </w:r>
      <w:r>
        <w:rPr>
          <w:rFonts w:ascii="Calibri" w:hAnsi="Calibri"/>
          <w:color w:val="000000"/>
        </w:rPr>
        <w:t xml:space="preserve">. http://www.apa.org/ed/resources/ trauma-competencies-training.pdf   </w:t>
      </w:r>
    </w:p>
    <w:p w14:paraId="05BC6AD8"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t xml:space="preserve">Aragón, K. M., Mullin, A. C., Felix, E. D., Appel, O., &amp; Sharkey, J. D. (2024). Identifying what educators need to support trauma-informed practices in the schools: A community needs assessment. </w:t>
      </w:r>
      <w:r>
        <w:rPr>
          <w:rFonts w:ascii="Calibri" w:hAnsi="Calibri"/>
          <w:i/>
          <w:color w:val="000000"/>
        </w:rPr>
        <w:t>School Psychology.</w:t>
      </w:r>
      <w:r>
        <w:rPr>
          <w:rFonts w:ascii="Calibri" w:hAnsi="Calibri"/>
          <w:color w:val="000000"/>
        </w:rPr>
        <w:t xml:space="preserve"> Advance online publication. </w:t>
      </w:r>
      <w:hyperlink r:id="rId18" w:history="1">
        <w:r>
          <w:rPr>
            <w:rFonts w:ascii="Calibri" w:hAnsi="Calibri"/>
            <w:color w:val="008080"/>
            <w:u w:val="single"/>
          </w:rPr>
          <w:t>https://doi.org/10.1037/spq0000621</w:t>
        </w:r>
      </w:hyperlink>
    </w:p>
    <w:p w14:paraId="285B8170" w14:textId="77777777" w:rsidR="00095394" w:rsidRDefault="00095394" w:rsidP="00095394">
      <w:pPr>
        <w:keepNext/>
        <w:keepLines/>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t xml:space="preserve">Fellman, V., Heppell, P. J., &amp; Rao, S. (2021). Afraid and awake: The interaction between trauma and sleep in children and adolescents. </w:t>
      </w:r>
      <w:r>
        <w:rPr>
          <w:rFonts w:ascii="Calibri" w:hAnsi="Calibri"/>
          <w:i/>
          <w:color w:val="000000"/>
        </w:rPr>
        <w:t>Child and adolescent psychiatric clinics of North America</w:t>
      </w:r>
      <w:r>
        <w:rPr>
          <w:rFonts w:ascii="Calibri" w:hAnsi="Calibri"/>
          <w:color w:val="000000"/>
        </w:rPr>
        <w:t xml:space="preserve">, </w:t>
      </w:r>
      <w:r>
        <w:rPr>
          <w:rFonts w:ascii="Calibri" w:hAnsi="Calibri"/>
          <w:i/>
          <w:color w:val="000000"/>
        </w:rPr>
        <w:t>30</w:t>
      </w:r>
      <w:r>
        <w:rPr>
          <w:rFonts w:ascii="Calibri" w:hAnsi="Calibri"/>
          <w:color w:val="000000"/>
        </w:rPr>
        <w:t xml:space="preserve">(1), 225–249. </w:t>
      </w:r>
      <w:hyperlink r:id="rId19" w:history="1">
        <w:r>
          <w:rPr>
            <w:rFonts w:ascii="Calibri" w:hAnsi="Calibri"/>
            <w:color w:val="808080"/>
            <w:u w:val="single"/>
          </w:rPr>
          <w:t>https://doi.org/10.1016/j.chc.2020.09.002</w:t>
        </w:r>
      </w:hyperlink>
      <w:r>
        <w:rPr>
          <w:rFonts w:ascii="Calibri" w:hAnsi="Calibri"/>
          <w:color w:val="000000"/>
        </w:rPr>
        <w:t xml:space="preserve"> </w:t>
      </w:r>
    </w:p>
    <w:p w14:paraId="59817C87" w14:textId="77777777" w:rsidR="00095394" w:rsidRDefault="00095394" w:rsidP="00095394">
      <w:pPr>
        <w:keepNext/>
        <w:keepLines/>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lastRenderedPageBreak/>
        <w:t xml:space="preserve">Foltz, R., Kaeley, A., </w:t>
      </w:r>
      <w:proofErr w:type="spellStart"/>
      <w:r>
        <w:rPr>
          <w:rFonts w:ascii="Calibri" w:hAnsi="Calibri"/>
          <w:color w:val="000000"/>
        </w:rPr>
        <w:t>Kupchan</w:t>
      </w:r>
      <w:proofErr w:type="spellEnd"/>
      <w:r>
        <w:rPr>
          <w:rFonts w:ascii="Calibri" w:hAnsi="Calibri"/>
          <w:color w:val="000000"/>
        </w:rPr>
        <w:t xml:space="preserve">, J., Mills, A., Murray, K., Pope, A., Rahman, H., &amp; Rubright, C. (2023). Trauma-informed care? Identifying training deficits in accredited doctoral programs. </w:t>
      </w:r>
      <w:r>
        <w:rPr>
          <w:rFonts w:ascii="Calibri" w:hAnsi="Calibri"/>
          <w:i/>
          <w:color w:val="000000"/>
        </w:rPr>
        <w:t xml:space="preserve">Psychological </w:t>
      </w:r>
      <w:proofErr w:type="gramStart"/>
      <w:r>
        <w:rPr>
          <w:rFonts w:ascii="Calibri" w:hAnsi="Calibri"/>
          <w:i/>
          <w:color w:val="000000"/>
        </w:rPr>
        <w:t>Trauma :</w:t>
      </w:r>
      <w:proofErr w:type="gramEnd"/>
      <w:r>
        <w:rPr>
          <w:rFonts w:ascii="Calibri" w:hAnsi="Calibri"/>
          <w:i/>
          <w:color w:val="000000"/>
        </w:rPr>
        <w:t xml:space="preserve"> Theory, Research, Practice and Policy</w:t>
      </w:r>
      <w:r>
        <w:rPr>
          <w:rFonts w:ascii="Calibri" w:hAnsi="Calibri"/>
          <w:color w:val="000000"/>
        </w:rPr>
        <w:t xml:space="preserve">, 10.1037/tra0001461. Advance online publication. </w:t>
      </w:r>
      <w:hyperlink r:id="rId20" w:history="1">
        <w:r>
          <w:rPr>
            <w:rFonts w:ascii="Calibri" w:hAnsi="Calibri"/>
            <w:color w:val="808080"/>
            <w:u w:val="single"/>
          </w:rPr>
          <w:t>https://doi.org/10.1037/tra0001461</w:t>
        </w:r>
      </w:hyperlink>
      <w:r>
        <w:rPr>
          <w:rFonts w:ascii="Calibri" w:hAnsi="Calibri"/>
          <w:color w:val="000000"/>
        </w:rPr>
        <w:t xml:space="preserve">  </w:t>
      </w:r>
    </w:p>
    <w:p w14:paraId="579334E3" w14:textId="77777777" w:rsidR="00095394" w:rsidRDefault="00095394" w:rsidP="00095394">
      <w:pPr>
        <w:keepNext/>
        <w:keepLines/>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t xml:space="preserve">McNally, K., Ragan, K., Varese, F., &amp; Lovell, K. (2023). The ongoing importance of </w:t>
      </w:r>
      <w:proofErr w:type="gramStart"/>
      <w:r>
        <w:rPr>
          <w:rFonts w:ascii="Calibri" w:hAnsi="Calibri"/>
          <w:color w:val="000000"/>
        </w:rPr>
        <w:t>the routine</w:t>
      </w:r>
      <w:proofErr w:type="gramEnd"/>
      <w:r>
        <w:rPr>
          <w:rFonts w:ascii="Calibri" w:hAnsi="Calibri"/>
          <w:color w:val="000000"/>
        </w:rPr>
        <w:t xml:space="preserve"> enquiry into trauma and abuse and trauma-informed care within mental health trusts in England. </w:t>
      </w:r>
      <w:r>
        <w:rPr>
          <w:rFonts w:ascii="Calibri" w:hAnsi="Calibri"/>
          <w:i/>
          <w:color w:val="000000"/>
        </w:rPr>
        <w:t>Journal of psychiatric and mental health nursing</w:t>
      </w:r>
      <w:r>
        <w:rPr>
          <w:rFonts w:ascii="Calibri" w:hAnsi="Calibri"/>
          <w:color w:val="000000"/>
        </w:rPr>
        <w:t xml:space="preserve">, </w:t>
      </w:r>
      <w:r>
        <w:rPr>
          <w:rFonts w:ascii="Calibri" w:hAnsi="Calibri"/>
          <w:i/>
          <w:color w:val="000000"/>
        </w:rPr>
        <w:t>30</w:t>
      </w:r>
      <w:r>
        <w:rPr>
          <w:rFonts w:ascii="Calibri" w:hAnsi="Calibri"/>
          <w:color w:val="000000"/>
        </w:rPr>
        <w:t xml:space="preserve">(6), 1130–1136. </w:t>
      </w:r>
      <w:hyperlink r:id="rId21" w:history="1">
        <w:r>
          <w:rPr>
            <w:rFonts w:ascii="Calibri" w:hAnsi="Calibri"/>
            <w:color w:val="808080"/>
            <w:u w:val="single"/>
          </w:rPr>
          <w:t>https://doi.org/10.1111/jpm.12947</w:t>
        </w:r>
      </w:hyperlink>
      <w:r>
        <w:rPr>
          <w:rFonts w:ascii="Calibri" w:hAnsi="Calibri"/>
          <w:color w:val="000000"/>
        </w:rPr>
        <w:t xml:space="preserve"> </w:t>
      </w:r>
    </w:p>
    <w:p w14:paraId="4560CD3E" w14:textId="77777777" w:rsidR="00095394" w:rsidRDefault="00095394" w:rsidP="00095394">
      <w:pPr>
        <w:keepNext/>
        <w:keepLines/>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t xml:space="preserve">Russell, S. E., Wrobel, A. L., </w:t>
      </w:r>
      <w:proofErr w:type="spellStart"/>
      <w:r>
        <w:rPr>
          <w:rFonts w:ascii="Calibri" w:hAnsi="Calibri"/>
          <w:color w:val="000000"/>
        </w:rPr>
        <w:t>Lotfaliany</w:t>
      </w:r>
      <w:proofErr w:type="spellEnd"/>
      <w:r>
        <w:rPr>
          <w:rFonts w:ascii="Calibri" w:hAnsi="Calibri"/>
          <w:color w:val="000000"/>
        </w:rPr>
        <w:t xml:space="preserve">, M., Ashton, M. M., Kaur, R., Yocum, A. K., ... Turner, A. (2024). Trauma and comorbid post-traumatic stress disorder in people with bipolar disorder participating in the Heinz C. </w:t>
      </w:r>
      <w:proofErr w:type="spellStart"/>
      <w:r>
        <w:rPr>
          <w:rFonts w:ascii="Calibri" w:hAnsi="Calibri"/>
          <w:color w:val="000000"/>
        </w:rPr>
        <w:t>Prechter</w:t>
      </w:r>
      <w:proofErr w:type="spellEnd"/>
      <w:r>
        <w:rPr>
          <w:rFonts w:ascii="Calibri" w:hAnsi="Calibri"/>
          <w:color w:val="000000"/>
        </w:rPr>
        <w:t xml:space="preserve"> Longitudinal Study. </w:t>
      </w:r>
      <w:r>
        <w:rPr>
          <w:rFonts w:ascii="Calibri" w:hAnsi="Calibri"/>
          <w:i/>
          <w:color w:val="000000"/>
        </w:rPr>
        <w:t>Journal of Affective Disorders</w:t>
      </w:r>
      <w:r>
        <w:rPr>
          <w:rFonts w:ascii="Calibri" w:hAnsi="Calibri"/>
          <w:color w:val="000000"/>
        </w:rPr>
        <w:t xml:space="preserve">, </w:t>
      </w:r>
      <w:r>
        <w:rPr>
          <w:rFonts w:ascii="Calibri" w:hAnsi="Calibri"/>
          <w:i/>
          <w:color w:val="000000"/>
        </w:rPr>
        <w:t>348,</w:t>
      </w:r>
      <w:r>
        <w:rPr>
          <w:rFonts w:ascii="Calibri" w:hAnsi="Calibri"/>
          <w:color w:val="000000"/>
        </w:rPr>
        <w:t xml:space="preserve"> 275-282. </w:t>
      </w:r>
      <w:hyperlink r:id="rId22" w:history="1">
        <w:r>
          <w:rPr>
            <w:rFonts w:ascii="Calibri" w:hAnsi="Calibri"/>
            <w:color w:val="000000"/>
            <w:u w:val="single"/>
          </w:rPr>
          <w:t>https://doi.org/10.1016/j.jad.2023.12.058</w:t>
        </w:r>
      </w:hyperlink>
      <w:r>
        <w:rPr>
          <w:rFonts w:ascii="Calibri" w:hAnsi="Calibri"/>
          <w:color w:val="000000"/>
        </w:rPr>
        <w:t xml:space="preserve">   </w:t>
      </w:r>
    </w:p>
    <w:p w14:paraId="2DAEA921" w14:textId="77777777" w:rsidR="00095394" w:rsidRDefault="00095394" w:rsidP="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58" w:line="278" w:lineRule="auto"/>
        <w:rPr>
          <w:rFonts w:ascii="Calibri" w:hAnsi="Calibri"/>
          <w:color w:val="000000"/>
        </w:rPr>
      </w:pPr>
      <w:r>
        <w:rPr>
          <w:rFonts w:ascii="Calibri" w:hAnsi="Calibri"/>
          <w:color w:val="000000"/>
        </w:rPr>
        <w:t xml:space="preserve">Stark, C. (2019). Ritual abuse and developmental trauma: Application of the Triphasic Model of trauma treatment in the Case of “Sarah,” </w:t>
      </w:r>
      <w:r>
        <w:rPr>
          <w:rFonts w:ascii="Calibri" w:hAnsi="Calibri"/>
          <w:i/>
          <w:color w:val="000000"/>
        </w:rPr>
        <w:t>International Journal of Cultic Studies, 10</w:t>
      </w:r>
      <w:r>
        <w:rPr>
          <w:rFonts w:ascii="Calibri" w:hAnsi="Calibri"/>
          <w:color w:val="000000"/>
        </w:rPr>
        <w:t>, 41-52.</w:t>
      </w:r>
    </w:p>
    <w:p w14:paraId="09CE1D4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43457E5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5C0C91C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6940F4F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7C020BEE"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75909AC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478DAA2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20C5F53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655BE37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113137F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283C2D3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279F327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2160659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0A2506B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497FD70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4867F52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sz w:val="22"/>
        </w:rPr>
      </w:pPr>
    </w:p>
    <w:p w14:paraId="67250EB6"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38C0F32C"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259D34AB"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0FFF4E8C"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325CBE20"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51D82006"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2FD143F8"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6ADB0AD0"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15D0252F"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48622D53"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1519D7E2"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73B7EE81"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76368ED7"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386AD680"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0DAA1F53"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215012C9" w14:textId="77777777" w:rsidR="00095394" w:rsidRDefault="00095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sz w:val="22"/>
        </w:rPr>
      </w:pPr>
    </w:p>
    <w:p w14:paraId="57342D42" w14:textId="52805BD6"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i/>
          <w:color w:val="000000"/>
          <w:sz w:val="22"/>
        </w:rPr>
      </w:pPr>
      <w:r>
        <w:rPr>
          <w:rFonts w:ascii="Calibri" w:hAnsi="Calibri"/>
          <w:b/>
          <w:color w:val="000000"/>
          <w:sz w:val="22"/>
        </w:rPr>
        <w:lastRenderedPageBreak/>
        <w:t xml:space="preserve">Selection from </w:t>
      </w:r>
      <w:r>
        <w:rPr>
          <w:rFonts w:ascii="Calibri" w:hAnsi="Calibri"/>
          <w:b/>
          <w:i/>
          <w:color w:val="000000"/>
          <w:sz w:val="22"/>
        </w:rPr>
        <w:t>After Amnesia</w:t>
      </w:r>
    </w:p>
    <w:p w14:paraId="07B92C4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color w:val="000000"/>
        </w:rPr>
      </w:pPr>
      <w:r>
        <w:rPr>
          <w:rFonts w:ascii="Calibri" w:hAnsi="Calibri"/>
          <w:color w:val="000000"/>
        </w:rPr>
        <w:t>Wendy Hoffman</w:t>
      </w:r>
    </w:p>
    <w:p w14:paraId="65E33C9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599910B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Selection from Wendy Hoffman’s 2021 book </w:t>
      </w:r>
      <w:r>
        <w:rPr>
          <w:rFonts w:ascii="Calibri" w:hAnsi="Calibri"/>
          <w:i/>
          <w:color w:val="000000"/>
        </w:rPr>
        <w:t xml:space="preserve">After Amnesia </w:t>
      </w:r>
      <w:r>
        <w:rPr>
          <w:rFonts w:ascii="Calibri" w:hAnsi="Calibri"/>
          <w:color w:val="000000"/>
        </w:rPr>
        <w:t xml:space="preserve">a memoir by Wendy Hoffman, used with permission. Available online at </w:t>
      </w:r>
      <w:hyperlink r:id="rId23" w:history="1">
        <w:r>
          <w:rPr>
            <w:rStyle w:val="WPHyperlink"/>
            <w:rFonts w:ascii="Calibri" w:hAnsi="Calibri"/>
          </w:rPr>
          <w:t>https://ritualabuse.us/ritualabuse/books/after-amnesia-and-during-a-memoir-by-wendy-hoffman/</w:t>
        </w:r>
      </w:hyperlink>
      <w:r>
        <w:rPr>
          <w:rFonts w:ascii="Calibri" w:hAnsi="Calibri"/>
          <w:color w:val="000000"/>
        </w:rPr>
        <w:t xml:space="preserve"> </w:t>
      </w:r>
    </w:p>
    <w:p w14:paraId="60228FA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8EEA1DC" w14:textId="77777777" w:rsidR="007A33C9" w:rsidRDefault="0000000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160" w:line="256" w:lineRule="auto"/>
        <w:rPr>
          <w:rFonts w:ascii="Calibri" w:hAnsi="Calibri"/>
          <w:b/>
          <w:color w:val="000000"/>
        </w:rPr>
      </w:pPr>
      <w:r>
        <w:rPr>
          <w:rFonts w:ascii="Calibri" w:hAnsi="Calibri"/>
          <w:b/>
          <w:color w:val="000000"/>
        </w:rPr>
        <w:t xml:space="preserve">Please note: This presentation may remind survivors of severe abuse of their programming. Survivors may want to read this with a safe support person or professional. </w:t>
      </w:r>
    </w:p>
    <w:p w14:paraId="3733BED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firstLine="720"/>
        <w:rPr>
          <w:rFonts w:ascii="Calibri" w:hAnsi="Calibri"/>
          <w:color w:val="000000"/>
        </w:rPr>
      </w:pPr>
      <w:r>
        <w:rPr>
          <w:rFonts w:ascii="Calibri" w:hAnsi="Calibri"/>
          <w:color w:val="000000"/>
        </w:rPr>
        <w:t xml:space="preserve">This satanic cult world that celebrates evil is so different from the world most are aware of. And nowadays many are loathe even to think about such evil or consider that it may exist, even post-Hitler, genocides, rights including even the right to live taken away from the young and minority groups. Psychological explanations have replaced belief in evil. We show empathy rather than outrage. We promote forgiveness rather than accountability. Yet citizens of some countries live within a political heart of darkness, ruled by leaders who can be described as monsters. Monsters are evil. No matter what may have occurred during their childhoods, they chose evil as a way of </w:t>
      </w:r>
      <w:proofErr w:type="gramStart"/>
      <w:r>
        <w:rPr>
          <w:rFonts w:ascii="Calibri" w:hAnsi="Calibri"/>
          <w:color w:val="000000"/>
        </w:rPr>
        <w:t>life</w:t>
      </w:r>
      <w:proofErr w:type="gramEnd"/>
      <w:r>
        <w:rPr>
          <w:rFonts w:ascii="Calibri" w:hAnsi="Calibri"/>
          <w:color w:val="000000"/>
        </w:rPr>
        <w:t xml:space="preserve"> and it is possible not to. A monster is someone who does not care about other humans’ rights, who deprives people of inherent dignity and squashes individual voices. A monster sells children for sexual exploitation and steals their brains. When society’s veneer cracks, we can see inside to darkness.</w:t>
      </w:r>
    </w:p>
    <w:p w14:paraId="572CBB8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A24300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t xml:space="preserve"> Normal people are aware of their whole brains at once and remember most of their lives, certainly what happened a half an hour ago. Not so with the criminally mind controlled dissociative brain. One module pops out, often because a programmer calls it out, and the other sections in the brain are not aware of it. All the parts that are not used for continuous ordinary life sleep, until they are called out. Once evoked, they do their job, recede, and sleep until the next episode of their being used. That part may remember accomplishing its job, but the other parts of the brain, especially parts designed for ordinary life, will not. Normal people’s brains hear communication transmitters transferring information from one part to another. They don’t have to struggle to receive information. Mind controlled victims have had their transmitters paralyzed by the violent use of electricity, so that their brains’ modules don’t communicate within. That is not a permanent condition and can be corrected during memory work and thinking. That is when the brain becomes what is called co-conscious. </w:t>
      </w:r>
    </w:p>
    <w:p w14:paraId="095400B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r>
    </w:p>
    <w:p w14:paraId="76AB795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firstLine="720"/>
        <w:rPr>
          <w:rFonts w:ascii="Calibri" w:hAnsi="Calibri"/>
          <w:color w:val="000000"/>
        </w:rPr>
      </w:pPr>
      <w:r>
        <w:rPr>
          <w:rFonts w:ascii="Calibri" w:hAnsi="Calibri"/>
          <w:color w:val="000000"/>
        </w:rPr>
        <w:t xml:space="preserve">After the transport part of me accomplished this one task of getting out of the car, it could go back to sleep and into oblivion. Other parts from inside my brain would take over—for this assignment, sex slaves and queens. No one else from inside me was called out. An internal observer or two might have </w:t>
      </w:r>
      <w:proofErr w:type="gramStart"/>
      <w:r>
        <w:rPr>
          <w:rFonts w:ascii="Calibri" w:hAnsi="Calibri"/>
          <w:color w:val="000000"/>
        </w:rPr>
        <w:t>been noticing</w:t>
      </w:r>
      <w:proofErr w:type="gramEnd"/>
      <w:r>
        <w:rPr>
          <w:rFonts w:ascii="Calibri" w:hAnsi="Calibri"/>
          <w:color w:val="000000"/>
        </w:rPr>
        <w:t xml:space="preserve"> what was happening, but no one inside spoke or even hinted at feelings. It was always possible that some other part or parts might escape notice and observe. That would greatly aid memory work.</w:t>
      </w:r>
    </w:p>
    <w:p w14:paraId="2B59EB4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33A4988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firstLine="720"/>
        <w:rPr>
          <w:rFonts w:ascii="Calibri" w:hAnsi="Calibri"/>
          <w:color w:val="000000"/>
        </w:rPr>
      </w:pPr>
      <w:r>
        <w:rPr>
          <w:rFonts w:ascii="Calibri" w:hAnsi="Calibri"/>
          <w:color w:val="000000"/>
        </w:rPr>
        <w:t xml:space="preserve">Navel, </w:t>
      </w:r>
      <w:proofErr w:type="gramStart"/>
      <w:r>
        <w:rPr>
          <w:rFonts w:ascii="Calibri" w:hAnsi="Calibri"/>
          <w:color w:val="000000"/>
        </w:rPr>
        <w:t>temple</w:t>
      </w:r>
      <w:proofErr w:type="gramEnd"/>
      <w:r>
        <w:rPr>
          <w:rFonts w:ascii="Calibri" w:hAnsi="Calibri"/>
          <w:color w:val="000000"/>
        </w:rPr>
        <w:t xml:space="preserve"> and blood oranges look the same and different.  This closed, insulated world of generational mind control has ties with other instances of slavery. We know that slavery in the U.S. occurred tragically, shamefully. The lives of victims of both kinds of slavery were utterly controlled, their bodies used round the clock, their minds tortured into dullness, the outside world not permitted in. It was extremely difficult, often impossible, for those treated as slaves to escape. </w:t>
      </w:r>
    </w:p>
    <w:p w14:paraId="4C7D402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r>
    </w:p>
    <w:p w14:paraId="7C13C7D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firstLine="720"/>
        <w:rPr>
          <w:rFonts w:ascii="Calibri" w:hAnsi="Calibri"/>
          <w:color w:val="000000"/>
        </w:rPr>
      </w:pPr>
      <w:r>
        <w:rPr>
          <w:rFonts w:ascii="Calibri" w:hAnsi="Calibri"/>
          <w:color w:val="000000"/>
        </w:rPr>
        <w:lastRenderedPageBreak/>
        <w:t xml:space="preserve">The narrow world of generational mind control also has ties to victims of the Holocaust in Eastern Europe, where scientists and doctors, especially the infamous Mengele, advanced the field of mind control and introduced the insertion of disease into victims’ bodies and conducted experiments on group mind control, that is programming groups all at once rather than individuals one at a time. Those experiments continue today. The difference is that mind control victims in satanic cults also </w:t>
      </w:r>
      <w:proofErr w:type="gramStart"/>
      <w:r>
        <w:rPr>
          <w:rFonts w:ascii="Calibri" w:hAnsi="Calibri"/>
          <w:color w:val="000000"/>
        </w:rPr>
        <w:t>have to</w:t>
      </w:r>
      <w:proofErr w:type="gramEnd"/>
      <w:r>
        <w:rPr>
          <w:rFonts w:ascii="Calibri" w:hAnsi="Calibri"/>
          <w:color w:val="000000"/>
        </w:rPr>
        <w:t xml:space="preserve"> look normal rather than tortured and emaciated. They cannot show whip marks and scars. Most importantly, they cannot know what their lives are like. They can rarely discuss the abuses among themselves and at least have the comfort of community. They must act like robots but appear normal. They do sleep on clean sheets and eat meals when </w:t>
      </w:r>
      <w:proofErr w:type="gramStart"/>
      <w:r>
        <w:rPr>
          <w:rFonts w:ascii="Calibri" w:hAnsi="Calibri"/>
          <w:color w:val="000000"/>
        </w:rPr>
        <w:t>abuses are</w:t>
      </w:r>
      <w:proofErr w:type="gramEnd"/>
      <w:r>
        <w:rPr>
          <w:rFonts w:ascii="Calibri" w:hAnsi="Calibri"/>
          <w:color w:val="000000"/>
        </w:rPr>
        <w:t xml:space="preserve"> not occurring, so they sometimes get a break from the drudgeries of the tortured existence. </w:t>
      </w:r>
    </w:p>
    <w:p w14:paraId="1DE6D74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r>
    </w:p>
    <w:p w14:paraId="3BDE8E6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t>Another form of this treachery is child sexual abuse. In the 1970s and 80s, victims began talking publicly about incest. At first citizens disbelieved, but now the reality of child sexual abuse even among family members has become sadly evident. Those children were made into sexual slaves, usually by their own parents and/or extended families. Our attitudes changed from disbelief to accepting new child protection laws. Disbelief can become belief. Evil does not have to usurp innocence. These other forms of slavery are known and studied, including trafficking, a modern-day form of slavery where people, especially women and children, are used for the financial benefit of perpetrators. But generational mind control remains disenfranchised. Many in the world don’t trust those speaking out like myself, as it continues full force, with children’s lives still being ruined, dissociated adults living in misery and not even knowing it or why. People may disbelieve because they haven’t experienced it themselves. This remains one of slavery’s unexplored terrains. I was a slave until several years ago.</w:t>
      </w:r>
    </w:p>
    <w:p w14:paraId="6409A85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r>
    </w:p>
    <w:p w14:paraId="618BB771"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t xml:space="preserve">Another issue that joins these four groups is that perpetrators do all they can to denigrate their innocent victims and make them feel like useless work-animals abhorrent to the world and themselves, like the Holocaust ‘rats.’ When people no longer have self-worth, it is harder for them to fight back. </w:t>
      </w:r>
    </w:p>
    <w:p w14:paraId="48095FD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r>
    </w:p>
    <w:p w14:paraId="2488E4E0" w14:textId="39F95A49" w:rsidR="005B04C4" w:rsidRDefault="00000000" w:rsidP="005B04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firstLine="720"/>
        <w:rPr>
          <w:rFonts w:ascii="Calibri" w:hAnsi="Calibri"/>
          <w:color w:val="000000"/>
        </w:rPr>
      </w:pPr>
      <w:r>
        <w:rPr>
          <w:rFonts w:ascii="Calibri" w:hAnsi="Calibri"/>
          <w:color w:val="000000"/>
        </w:rPr>
        <w:t xml:space="preserve">When victims from other groups seek freedom, they do so with their whole souls and minds. Mind control victims, however, have ‘reporters’ implanted in their brains. Reporters are programmed to report on the person whose brain they are part of, and especially tell their plans </w:t>
      </w:r>
      <w:proofErr w:type="gramStart"/>
      <w:r>
        <w:rPr>
          <w:rFonts w:ascii="Calibri" w:hAnsi="Calibri"/>
          <w:color w:val="000000"/>
        </w:rPr>
        <w:t>of</w:t>
      </w:r>
      <w:proofErr w:type="gramEnd"/>
      <w:r>
        <w:rPr>
          <w:rFonts w:ascii="Calibri" w:hAnsi="Calibri"/>
          <w:color w:val="000000"/>
        </w:rPr>
        <w:t xml:space="preserve"> escape. If they run away, another part of their mind reports where they are. Reporters are separated from the main brain early in life. Consequently, if escaping victims take their children, a child’s already established reporter parts will call a handler, who is often someone in the family. The reporter parts are located far away from the other parts of the </w:t>
      </w:r>
      <w:proofErr w:type="gramStart"/>
      <w:r>
        <w:rPr>
          <w:rFonts w:ascii="Calibri" w:hAnsi="Calibri"/>
          <w:color w:val="000000"/>
        </w:rPr>
        <w:t>mind controlled</w:t>
      </w:r>
      <w:proofErr w:type="gramEnd"/>
      <w:r>
        <w:rPr>
          <w:rFonts w:ascii="Calibri" w:hAnsi="Calibri"/>
          <w:color w:val="000000"/>
        </w:rPr>
        <w:t xml:space="preserve"> brain, but close enough to hear what the other parts intend. They do not see or know the harm it does to the system as a whole or the body. Consequently, the person leaves with one foot and goes back with the other. Victims of other groups have trappers outside themselves working for bounty payoffs or revenge. They </w:t>
      </w:r>
      <w:proofErr w:type="gramStart"/>
      <w:r>
        <w:rPr>
          <w:rFonts w:ascii="Calibri" w:hAnsi="Calibri"/>
          <w:color w:val="000000"/>
        </w:rPr>
        <w:t>don’t necessarily also</w:t>
      </w:r>
      <w:proofErr w:type="gramEnd"/>
      <w:r>
        <w:rPr>
          <w:rFonts w:ascii="Calibri" w:hAnsi="Calibri"/>
          <w:color w:val="000000"/>
        </w:rPr>
        <w:t xml:space="preserve"> have internal unknowing betrayers. Internal reporters can heal if they become aware of their compulsion to tell the enemy and if the separateness of the reporter divisions is joined to the main brain. It is easier for children to become </w:t>
      </w:r>
      <w:proofErr w:type="gramStart"/>
      <w:r>
        <w:rPr>
          <w:rFonts w:ascii="Calibri" w:hAnsi="Calibri"/>
          <w:color w:val="000000"/>
        </w:rPr>
        <w:t>aware, because</w:t>
      </w:r>
      <w:proofErr w:type="gramEnd"/>
      <w:r>
        <w:rPr>
          <w:rFonts w:ascii="Calibri" w:hAnsi="Calibri"/>
          <w:color w:val="000000"/>
        </w:rPr>
        <w:t xml:space="preserve"> they don’t have the years of hardening maintenance after the separations and barriers have been established.</w:t>
      </w:r>
      <w:r>
        <w:rPr>
          <w:rFonts w:ascii="Calibri" w:hAnsi="Calibri"/>
          <w:color w:val="000000"/>
        </w:rPr>
        <w:tab/>
      </w:r>
    </w:p>
    <w:p w14:paraId="44325B53" w14:textId="77777777" w:rsidR="005B04C4" w:rsidRDefault="005B04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b/>
      </w:r>
    </w:p>
    <w:p w14:paraId="50E7952F" w14:textId="77777777" w:rsidR="005B04C4" w:rsidRDefault="005B04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ab/>
      </w:r>
      <w:r w:rsidR="00000000">
        <w:rPr>
          <w:rFonts w:ascii="Calibri" w:hAnsi="Calibri"/>
          <w:color w:val="000000"/>
        </w:rPr>
        <w:t xml:space="preserve">When a part of the brain is isolated and given a job, it stays at the age of the body at that time and does not grow and mature no matter how old the body becomes. These are words from one of my internal </w:t>
      </w:r>
      <w:proofErr w:type="gramStart"/>
      <w:r w:rsidR="00000000">
        <w:rPr>
          <w:rFonts w:ascii="Calibri" w:hAnsi="Calibri"/>
          <w:color w:val="000000"/>
        </w:rPr>
        <w:t>eight year olds</w:t>
      </w:r>
      <w:proofErr w:type="gramEnd"/>
      <w:r w:rsidR="00000000">
        <w:rPr>
          <w:rFonts w:ascii="Calibri" w:hAnsi="Calibri"/>
          <w:color w:val="000000"/>
        </w:rPr>
        <w:t xml:space="preserve">. I am perpetually confused and living in terror. Anxieties of not being able to control my mind were extreme. I would try to catch a thought and my brain would shift to the side. I’d try for a math problem, and it would turn upside down. Contents spill out. It doesn’t feel like I can recapture them. It is far worse than diarrhea. This child remained in my adult brain. She was always present but hidden. I never knew when she would be called out or take over. Because of mind control, I could not be a complete adult, aware of myself, </w:t>
      </w:r>
      <w:proofErr w:type="gramStart"/>
      <w:r w:rsidR="00000000">
        <w:rPr>
          <w:rFonts w:ascii="Calibri" w:hAnsi="Calibri"/>
          <w:color w:val="000000"/>
        </w:rPr>
        <w:t>thoughts</w:t>
      </w:r>
      <w:proofErr w:type="gramEnd"/>
      <w:r w:rsidR="00000000">
        <w:rPr>
          <w:rFonts w:ascii="Calibri" w:hAnsi="Calibri"/>
          <w:color w:val="000000"/>
        </w:rPr>
        <w:t xml:space="preserve"> and actions.</w:t>
      </w:r>
      <w:r>
        <w:rPr>
          <w:rFonts w:ascii="Calibri" w:hAnsi="Calibri"/>
          <w:color w:val="000000"/>
        </w:rPr>
        <w:t xml:space="preserve">  </w:t>
      </w:r>
    </w:p>
    <w:p w14:paraId="0E561C59" w14:textId="77777777" w:rsidR="005B04C4" w:rsidRDefault="005B04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1C2BB2F" w14:textId="5F5300E4"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Copyright 2021, Wendy Hoffman</w:t>
      </w:r>
    </w:p>
    <w:p w14:paraId="0693E32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727D0F6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42C5A968"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bookmarkStart w:id="0" w:name="_Hlk128436941"/>
      <w:bookmarkEnd w:id="0"/>
    </w:p>
    <w:p w14:paraId="3400C85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D123EA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5FFA0AA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677397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76E3E4FD"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FD4B38D"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3DF8E298"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019A7CE"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4347415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FA330C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529216C8"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4980D91D"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6F15FAE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3948950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30898D6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28025ED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7DFC4CD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531BE66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706326F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26DB470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45416582"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78E0175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47ED8DF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7F6C6A0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7D2CE0A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3DB2D9B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156BE6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47D38AD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0A502B97" w14:textId="77777777" w:rsidR="005B04C4" w:rsidRDefault="005B04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p>
    <w:p w14:paraId="1981A1D6" w14:textId="188A3CEE"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808080"/>
          <w:sz w:val="28"/>
        </w:rPr>
      </w:pPr>
      <w:r>
        <w:rPr>
          <w:rFonts w:ascii="Calibri" w:hAnsi="Calibri"/>
          <w:b/>
          <w:color w:val="808080"/>
          <w:sz w:val="28"/>
        </w:rPr>
        <w:lastRenderedPageBreak/>
        <w:t xml:space="preserve">Ritual Abuse, Sex Trafficking and Mind Control  </w:t>
      </w:r>
    </w:p>
    <w:p w14:paraId="1D2A58C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rPr>
      </w:pPr>
      <w:r>
        <w:rPr>
          <w:rFonts w:ascii="Calibri" w:hAnsi="Calibri"/>
          <w:b/>
          <w:color w:val="000000"/>
        </w:rPr>
        <w:t>Neil Brick</w:t>
      </w:r>
    </w:p>
    <w:p w14:paraId="7C9C691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Calibri" w:hAnsi="Calibri"/>
          <w:b/>
          <w:color w:val="000000"/>
        </w:rPr>
      </w:pPr>
    </w:p>
    <w:p w14:paraId="177863E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Excerpt from the presentation at the 20th Annual International Human Trafficking &amp; Social Justice Conference</w:t>
      </w:r>
    </w:p>
    <w:p w14:paraId="009E93E1"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September 20, 2023. Transcript online at </w:t>
      </w:r>
      <w:hyperlink r:id="rId24" w:history="1">
        <w:r>
          <w:rPr>
            <w:rStyle w:val="WPHyperlink"/>
            <w:rFonts w:ascii="Calibri" w:hAnsi="Calibri"/>
          </w:rPr>
          <w:t>https://ritualabuse.us/mindcontrol/ritual-abuse-sex-trafficking-and-mind-control/</w:t>
        </w:r>
      </w:hyperlink>
      <w:r>
        <w:rPr>
          <w:rFonts w:ascii="Calibri" w:hAnsi="Calibri"/>
          <w:color w:val="000000"/>
        </w:rPr>
        <w:t xml:space="preserve"> </w:t>
      </w:r>
    </w:p>
    <w:p w14:paraId="5E9BE03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CF5E17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This presentation will explain how ritual abuse, mind control, and different suggestive techniques work to control sex trafficking survivors (Karriker, 2008). The presenter will describe different historical examples of how mind control and ritual abuse have been used. Legal cases will also be discussed from various parts of the world (McGonigle, 1999; New York Times, 1988). Research studies, like the Extreme Abuse Survivors Survey, will be presented, as well as examples of different cults and their techniques (Hassan, 2018). Mental health diagnoses, like </w:t>
      </w:r>
      <w:proofErr w:type="gramStart"/>
      <w:r>
        <w:rPr>
          <w:rFonts w:ascii="Calibri" w:hAnsi="Calibri"/>
          <w:color w:val="000000"/>
        </w:rPr>
        <w:t>Dissociative Identity Disorder</w:t>
      </w:r>
      <w:proofErr w:type="gramEnd"/>
      <w:r>
        <w:rPr>
          <w:rFonts w:ascii="Calibri" w:hAnsi="Calibri"/>
          <w:color w:val="000000"/>
        </w:rPr>
        <w:t xml:space="preserve"> and Post Traumatic Stress Disorder, and their origins in sex trafficking survivors will be explained. The presenter will discuss his personal experiences of being in a cult as a child experiencing torture, sexual abuse, and mind control techniques. The forced development of these diagnoses and their symptoms will be connected to how they are used to control sex trafficking survivors. Ways to expose and prevent ritual abuse, mind control, and sex trafficking will be discussed. Finally, there will be a discussion of the future of advocacy efforts to stop ritual abuse, sex trafficking, and mind control.</w:t>
      </w:r>
    </w:p>
    <w:p w14:paraId="1FD79A1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D3EB0C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Trigger Warning: This presentation contains information (written, spoken, or visual) that may be triggering or (re)traumatizing to readers.</w:t>
      </w:r>
    </w:p>
    <w:p w14:paraId="5911A9D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5AEC47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Definition of Terms:</w:t>
      </w:r>
    </w:p>
    <w:p w14:paraId="6CB353F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36A8B23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Sex Trafficking</w:t>
      </w:r>
    </w:p>
    <w:p w14:paraId="00CA14D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Sex trafficking is a type of human trafficking and is a form of modern-day slavery. It is a serious public health problem that negatively affects the well-being of individuals, families, and communities. Human trafficking occurs when a trafficker exploits an individual with force, fraud, or coercion to make them perform commercial sex or work. Sex trafficking is defined by the Trafficking Victims Protection Act of 2000 as “the recruitment, harboring, transportation, provision, obtaining, patronizing, or soliciting of a person for the purpose of a commercial sex act.” It involves the use of force, fraud, or coercion to make an adult engage in commercial sex acts. However, any commercial sexual activity with a minor, even without force, fraud, or coercion, is considered trafficking. Understanding the shared risk and protective factors for violence can help us prevent trafficking from happening in the first place. (Sex Trafficking – CDC)</w:t>
      </w:r>
    </w:p>
    <w:p w14:paraId="638E57A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6C6139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Human Trafficking</w:t>
      </w:r>
    </w:p>
    <w:p w14:paraId="57EB40D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There are two types of a severe form of trafficking in persons:</w:t>
      </w:r>
    </w:p>
    <w:p w14:paraId="7722FA3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Labor Trafficking — Individuals are compelled to work or provide services </w:t>
      </w:r>
      <w:proofErr w:type="gramStart"/>
      <w:r>
        <w:rPr>
          <w:rFonts w:ascii="Calibri" w:hAnsi="Calibri"/>
          <w:color w:val="000000"/>
        </w:rPr>
        <w:t>through the use of</w:t>
      </w:r>
      <w:proofErr w:type="gramEnd"/>
      <w:r>
        <w:rPr>
          <w:rFonts w:ascii="Calibri" w:hAnsi="Calibri"/>
          <w:color w:val="000000"/>
        </w:rPr>
        <w:t xml:space="preserve"> force, fraud, or coercion.</w:t>
      </w:r>
    </w:p>
    <w:p w14:paraId="13E57A0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Sex Trafficking — Individuals are compelled to engage in commercial sex </w:t>
      </w:r>
      <w:proofErr w:type="gramStart"/>
      <w:r>
        <w:rPr>
          <w:rFonts w:ascii="Calibri" w:hAnsi="Calibri"/>
          <w:color w:val="000000"/>
        </w:rPr>
        <w:t>through the use of</w:t>
      </w:r>
      <w:proofErr w:type="gramEnd"/>
      <w:r>
        <w:rPr>
          <w:rFonts w:ascii="Calibri" w:hAnsi="Calibri"/>
          <w:color w:val="000000"/>
        </w:rPr>
        <w:t xml:space="preserve"> force, fraud, or coercion. When a person under 18 years old is induced to perform a commercial sex act, it is a crime regardless of whether there is any force, fraud, or coercion. (What is Human Trafficking)</w:t>
      </w:r>
    </w:p>
    <w:p w14:paraId="65872FFD"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E48E7C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1DEFD811"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Ritual Abuse</w:t>
      </w:r>
    </w:p>
    <w:p w14:paraId="1540CEC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Ritual abuse has been defined as:</w:t>
      </w:r>
    </w:p>
    <w:p w14:paraId="724A8B6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 xml:space="preserve">a brutal form of abuse of children, adolescents, and adults, consisting of physical, sexual, and psychological abuse, and involving the use of rituals. Ritual does not necessarily mean satanic. However, most survivors state that they were ritually abused as part of satanic worship for the purpose of indoctrinating them into satanic beliefs and practices. Ritual abuse rarely consists of a single episode. It usually involves repeated abuse over an extended </w:t>
      </w:r>
      <w:proofErr w:type="gramStart"/>
      <w:r>
        <w:rPr>
          <w:rFonts w:ascii="Calibri" w:hAnsi="Calibri"/>
          <w:color w:val="000000"/>
        </w:rPr>
        <w:t>period of time</w:t>
      </w:r>
      <w:proofErr w:type="gramEnd"/>
      <w:r>
        <w:rPr>
          <w:rFonts w:ascii="Calibri" w:hAnsi="Calibri"/>
          <w:color w:val="000000"/>
        </w:rPr>
        <w:t xml:space="preserve">. The physical abuse is severe, sometimes including torture and killing. </w:t>
      </w:r>
      <w:proofErr w:type="gramStart"/>
      <w:r>
        <w:rPr>
          <w:rFonts w:ascii="Calibri" w:hAnsi="Calibri"/>
          <w:color w:val="000000"/>
        </w:rPr>
        <w:t>The sexual</w:t>
      </w:r>
      <w:proofErr w:type="gramEnd"/>
      <w:r>
        <w:rPr>
          <w:rFonts w:ascii="Calibri" w:hAnsi="Calibri"/>
          <w:color w:val="000000"/>
        </w:rPr>
        <w:t xml:space="preserve"> abuse is usually painful, sadistic, and humiliating, intended as means of gaining dominance over the victim. The psychological abuse is devastating and involves the use of ritual/indoctrination, which includes mind control techniques and </w:t>
      </w:r>
      <w:proofErr w:type="gramStart"/>
      <w:r>
        <w:rPr>
          <w:rFonts w:ascii="Calibri" w:hAnsi="Calibri"/>
          <w:color w:val="000000"/>
        </w:rPr>
        <w:t>mind altering</w:t>
      </w:r>
      <w:proofErr w:type="gramEnd"/>
      <w:r>
        <w:rPr>
          <w:rFonts w:ascii="Calibri" w:hAnsi="Calibri"/>
          <w:color w:val="000000"/>
        </w:rPr>
        <w:t xml:space="preserve"> drugs, and ritual/intimidation which conveys to the victim a profound terror of the cult members and of the evil spirits they believe cult members can command. Both during and after the abuse, most victims are in a state of terror, mind control, and dissociation in which disclosure is exceedingly difficult. (Report of the Ritual Abuse Task Force – Los Angeles County Commission for Women)</w:t>
      </w:r>
    </w:p>
    <w:p w14:paraId="30D1DA3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7DAD18AA"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and as</w:t>
      </w:r>
    </w:p>
    <w:p w14:paraId="749823C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WHAT IS RITUAL ABUSE? (BROAD DEFINITION) Ritual abuse is the abuse of a child, weaker adult, or animal in a ritual setting or manner. In a broad sense, many of our overtly or covertly socially sanctioned actions can be seen as ritual abuse, such as military basic training, hazing, racism, spanking children, and partner-battering. Some abuse is private…some public. Public ritual abuse may be either open or secret. (Survivorship – Frequently Asked Questions)</w:t>
      </w:r>
    </w:p>
    <w:p w14:paraId="0BA234A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8C9F78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WHAT IS RITUAL ABUSE? (NARROW DEFINITION) The term ritual abuse is generally used to mean prolonged, extreme, sadistic abuse, especially of children, within a group setting. The group’s ideology is used to justify the abuse, and abuse is used to teach the group’s ideology. </w:t>
      </w:r>
      <w:proofErr w:type="gramStart"/>
      <w:r>
        <w:rPr>
          <w:rFonts w:ascii="Calibri" w:hAnsi="Calibri"/>
          <w:color w:val="000000"/>
        </w:rPr>
        <w:t>The</w:t>
      </w:r>
      <w:proofErr w:type="gramEnd"/>
      <w:r>
        <w:rPr>
          <w:rFonts w:ascii="Calibri" w:hAnsi="Calibri"/>
          <w:color w:val="000000"/>
        </w:rPr>
        <w:t xml:space="preserve"> activities are kept secret from society at large, as they violate norms and laws. (Survivorship – Frequently Asked Questions)</w:t>
      </w:r>
    </w:p>
    <w:p w14:paraId="2728E2B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68F1C1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Pazder (“Michelle Remembers”) introduced the term “ritualized abuse” in 1980, describing the experiences of an adult survivor that was disclosing satanic abuse memories. He defined the phenomenon as “repeated physical, emotional, mental, and spiritual assaults combined with a systematic use of symbols, ceremonies, and machinations designed and orchestrated to attain malevolent effects.”</w:t>
      </w:r>
    </w:p>
    <w:p w14:paraId="1B35775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D31494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Later definitions came mostly from professionals addressing ritual abuse in childcare settings. </w:t>
      </w:r>
      <w:proofErr w:type="spellStart"/>
      <w:r>
        <w:rPr>
          <w:rFonts w:ascii="Calibri" w:hAnsi="Calibri"/>
          <w:color w:val="000000"/>
        </w:rPr>
        <w:t>Finkelhor</w:t>
      </w:r>
      <w:proofErr w:type="spellEnd"/>
      <w:r>
        <w:rPr>
          <w:rFonts w:ascii="Calibri" w:hAnsi="Calibri"/>
          <w:color w:val="000000"/>
        </w:rPr>
        <w:t>, Williams, Burns, and Kalinowski elaborated on Pazder’s definition, defining ritual abuse as “abuse that occurs in a context linked to some symbols or group activity that have a religious, magical or supernatural connotation, and where the invocation of these symbols or activities are repeated over time and used to frighten and intimidate the children.” (Sexual Abuse in Day Care: A National Study – Executive Summary)</w:t>
      </w:r>
    </w:p>
    <w:p w14:paraId="16D4495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Kelley referred to ritual abuse as the “repetitive and systematic sexual, physical, and psychological abuse of children by adults as part of cult or satanic worship” (Van Benschoten, Susan C. (1990). Multiple Personality Disorder and Satanic Ritual Abuse: The Issue </w:t>
      </w:r>
      <w:proofErr w:type="gramStart"/>
      <w:r>
        <w:rPr>
          <w:rFonts w:ascii="Calibri" w:hAnsi="Calibri"/>
          <w:color w:val="000000"/>
        </w:rPr>
        <w:t>Of</w:t>
      </w:r>
      <w:proofErr w:type="gramEnd"/>
      <w:r>
        <w:rPr>
          <w:rFonts w:ascii="Calibri" w:hAnsi="Calibri"/>
          <w:color w:val="000000"/>
        </w:rPr>
        <w:t xml:space="preserve"> Credibility – Dissociation Vol. III, No. 1)</w:t>
      </w:r>
    </w:p>
    <w:p w14:paraId="690E327E"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3FFB81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Mind Control</w:t>
      </w:r>
    </w:p>
    <w:p w14:paraId="044631E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3F56C2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WHAT IS MIND CONTROL?</w:t>
      </w:r>
    </w:p>
    <w:p w14:paraId="4943941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Mind control, like ritual abuse, has both a broad and narrow definition. In a sense, all advertising is an attempt at mind control, an attempt to make people buy certain brands or objects. Propaganda (my country is right and good, and the other country is wrong and bad) is also an example of attempted mind control.</w:t>
      </w:r>
    </w:p>
    <w:p w14:paraId="409655A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In the survivor community, however, the definition is much narrower and more sinister. It means that part of a person’s mind has been programmed (that is, trained) to obey another person without question, while other parts of the mind are unaware of this situation. (Survivorship – Frequently Asked Questions)</w:t>
      </w:r>
    </w:p>
    <w:p w14:paraId="6261EE0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1F6032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Propaganda vs Cult Trauma</w:t>
      </w:r>
    </w:p>
    <w:p w14:paraId="35E48D6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Propaganda – Name Calling, Glittering Generalities, Exaggeration, Emotional Manipulation, Subliminal Commands, Changing the Topic, Repetition, Testimonials, Logical Fallacies, Unwarranted Extrapolation. (Propaganda &amp; Mind Control)</w:t>
      </w:r>
    </w:p>
    <w:p w14:paraId="1C11307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5A7BFCD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Name Calling</w:t>
      </w:r>
    </w:p>
    <w:p w14:paraId="61A0DC1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This can include being called negative names (used inappropriately) like liar, psychotic, paranoid, crazy, communist, etc. The purpose, intentional or unintentional, of the usage of these names is to discredit the person they are being used on, without discussing the facts of the debate or topic. Sometimes names are used to shock the listener, which may put the listener into a more susceptible mind state and not critically think about the topic but simply accept the negative name or opinion subliminally.</w:t>
      </w:r>
    </w:p>
    <w:p w14:paraId="73283977"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93185A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Glittering Generalities</w:t>
      </w:r>
    </w:p>
    <w:p w14:paraId="2BE09E5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Democracy, </w:t>
      </w:r>
      <w:proofErr w:type="gramStart"/>
      <w:r>
        <w:rPr>
          <w:rFonts w:ascii="Calibri" w:hAnsi="Calibri"/>
          <w:color w:val="000000"/>
        </w:rPr>
        <w:t>capitalism</w:t>
      </w:r>
      <w:proofErr w:type="gramEnd"/>
      <w:r>
        <w:rPr>
          <w:rFonts w:ascii="Calibri" w:hAnsi="Calibri"/>
          <w:color w:val="000000"/>
        </w:rPr>
        <w:t xml:space="preserve"> or other ideas are often discussed in these terms. These terms may be described positively without a critical analysis of all sides of the issue. The important thing is to look at the ideas behind the terms and analyze them critically. A group may also only discuss the positives of the organization, ignoring any negative criticism about the group. The important thing is to check out any group or organization as completely as possible before joining. But I believe it is also important to trust people when they are safe, so that we can recover by sharing and connecting.</w:t>
      </w:r>
    </w:p>
    <w:p w14:paraId="632797E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0FB04B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Exaggeration</w:t>
      </w:r>
    </w:p>
    <w:p w14:paraId="38EF74E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A user of propaganda may use terms like “many,” “a lot,” “numerous,” or “a few” without backing up these numbers or statistics. The usage of these words may make a person or organization look better or worse without data or substantial proof.</w:t>
      </w:r>
    </w:p>
    <w:p w14:paraId="5564BF2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505019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Emotional Manipulation</w:t>
      </w:r>
    </w:p>
    <w:p w14:paraId="7C1A1AC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Sometimes it is important to look at the argument(s) with as little emotion as </w:t>
      </w:r>
      <w:proofErr w:type="gramStart"/>
      <w:r>
        <w:rPr>
          <w:rFonts w:ascii="Calibri" w:hAnsi="Calibri"/>
          <w:color w:val="000000"/>
        </w:rPr>
        <w:t>possible, and</w:t>
      </w:r>
      <w:proofErr w:type="gramEnd"/>
      <w:r>
        <w:rPr>
          <w:rFonts w:ascii="Calibri" w:hAnsi="Calibri"/>
          <w:color w:val="000000"/>
        </w:rPr>
        <w:t xml:space="preserve"> try to see the facts only.  “…there are four elements to a successful fear appeal: 1) a threat, 2) a specific recommendation about how the audience should behave, 3) audience perception that the recommendation will be effective in addressing the threat, and 4) audience perception that they are capable of performing the recommended behavior.” Groups may also use these techniques on their members. They may say, “If you don’t do this, then the world will end, we will close our doors, etc.” For members that are very needy or attached to the organization or person making the statement, this threat may be very difficult to ignore.</w:t>
      </w:r>
    </w:p>
    <w:p w14:paraId="1082FF5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C8B8B5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In E-mail, this may be caused </w:t>
      </w:r>
      <w:proofErr w:type="gramStart"/>
      <w:r>
        <w:rPr>
          <w:rFonts w:ascii="Calibri" w:hAnsi="Calibri"/>
          <w:color w:val="000000"/>
        </w:rPr>
        <w:t>by the use of</w:t>
      </w:r>
      <w:proofErr w:type="gramEnd"/>
      <w:r>
        <w:rPr>
          <w:rFonts w:ascii="Calibri" w:hAnsi="Calibri"/>
          <w:color w:val="000000"/>
        </w:rPr>
        <w:t xml:space="preserve"> numerous brackets in bold or the use of capital letters. The writer may say things like, “apples are always red,” and then, “apples are always blue,” to cause confusion in the reader and make them more susceptible to the ideas in the Email. While the mind is trying to figure out which statement is true, the reader’s mind may become more susceptible to the suggestion or idea.</w:t>
      </w:r>
    </w:p>
    <w:p w14:paraId="606D92C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6A48DA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Subliminal Commands</w:t>
      </w:r>
    </w:p>
    <w:p w14:paraId="51DBCDD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These will be discussed more under Suggestive Techniques.</w:t>
      </w:r>
    </w:p>
    <w:p w14:paraId="78754A9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24D2ACC" w14:textId="77777777" w:rsidR="00DF2CAC" w:rsidRDefault="00DF2CA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46BC2CC5" w14:textId="1035FD90"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lastRenderedPageBreak/>
        <w:t>Changing the Topic</w:t>
      </w:r>
    </w:p>
    <w:p w14:paraId="3C0E633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Rather than deal with the specific topic, a group or person may try to change the topic, or discredit the other side, rather than deal with the criticisms or arguments in the debate. A variety of propaganda techniques may be used to try and do this. This technique has occasionally been used by politicians and others.</w:t>
      </w:r>
    </w:p>
    <w:p w14:paraId="0F006902"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DC91E2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Repetition</w:t>
      </w:r>
    </w:p>
    <w:p w14:paraId="4796D9B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One way of remembering something is to constantly repeat it. This is one way we learn to remember new words and songs. Rather than debating the points of the debate, a debater may simply continue calling a person a liar or crazy or a traitor, etc. (see “name calling”) without backing up their statements. How often is an idea in an argument presented without a source or logical backing. This is one place in a debate or argument where a debater may show their “true colors.” Are they interested in debating the points of the argument or are they using propaganda and mind control techniques?</w:t>
      </w:r>
    </w:p>
    <w:p w14:paraId="012B44F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7402228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Testimonials</w:t>
      </w:r>
    </w:p>
    <w:p w14:paraId="10F4857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Individuals that are not qualified to discuss the particulars (the specific facts) of a debate or product may join the debate or ad campaign and make statements that may have little or no logical backing or factual basis. Organizations and companies may use a variety of techniques to encourage such participation.</w:t>
      </w:r>
    </w:p>
    <w:p w14:paraId="0FB1108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6D4E7C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Band Wagon</w:t>
      </w:r>
    </w:p>
    <w:p w14:paraId="00CBE4F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The user of propaganda may encourage people to join the cause without asking them to think about the facts and other side of the argument. This may include a kind of hero worship, including fancy clothes, high expenditures, claims of a large following, etc. I think the most important thing is to follow your instincts and </w:t>
      </w:r>
      <w:proofErr w:type="gramStart"/>
      <w:r>
        <w:rPr>
          <w:rFonts w:ascii="Calibri" w:hAnsi="Calibri"/>
          <w:color w:val="000000"/>
        </w:rPr>
        <w:t>recovery</w:t>
      </w:r>
      <w:proofErr w:type="gramEnd"/>
      <w:r>
        <w:rPr>
          <w:rFonts w:ascii="Calibri" w:hAnsi="Calibri"/>
          <w:color w:val="000000"/>
        </w:rPr>
        <w:t xml:space="preserve">, not someone else. Other people may have valid and helpful things to say, but I believe our recovery </w:t>
      </w:r>
      <w:proofErr w:type="gramStart"/>
      <w:r>
        <w:rPr>
          <w:rFonts w:ascii="Calibri" w:hAnsi="Calibri"/>
          <w:color w:val="000000"/>
        </w:rPr>
        <w:t>has to</w:t>
      </w:r>
      <w:proofErr w:type="gramEnd"/>
      <w:r>
        <w:rPr>
          <w:rFonts w:ascii="Calibri" w:hAnsi="Calibri"/>
          <w:color w:val="000000"/>
        </w:rPr>
        <w:t xml:space="preserve"> be our own.</w:t>
      </w:r>
    </w:p>
    <w:p w14:paraId="291B389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455B09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Logical Fallacies</w:t>
      </w:r>
    </w:p>
    <w:p w14:paraId="3663C89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These will be intentionally used by the user of propaganda to manipulate opinion.</w:t>
      </w:r>
    </w:p>
    <w:p w14:paraId="2D13082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Example: John likes apples.</w:t>
      </w:r>
    </w:p>
    <w:p w14:paraId="4E2BD63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Hitler liked apples.</w:t>
      </w:r>
    </w:p>
    <w:p w14:paraId="02C6025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John likes Hitler.</w:t>
      </w:r>
    </w:p>
    <w:p w14:paraId="01541E2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This can be used in politics. Equating communism to fascism because one or several communist governments may have been fascist is an example of this. A person may agree with someone on one topic and disagree with the same person on another topic. The user of propaganda may try to lump the two people or a group of people together that disagree with them, suggesting a conspiracy, when it may only be people agreeing on a certain topic.</w:t>
      </w:r>
    </w:p>
    <w:p w14:paraId="13152BD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E3EA82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Unwarranted Extrapolation</w:t>
      </w:r>
    </w:p>
    <w:p w14:paraId="34C5552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This is another logical fallacy. A person receiving </w:t>
      </w:r>
      <w:proofErr w:type="gramStart"/>
      <w:r>
        <w:rPr>
          <w:rFonts w:ascii="Calibri" w:hAnsi="Calibri"/>
          <w:color w:val="000000"/>
        </w:rPr>
        <w:t>a criticism</w:t>
      </w:r>
      <w:proofErr w:type="gramEnd"/>
      <w:r>
        <w:rPr>
          <w:rFonts w:ascii="Calibri" w:hAnsi="Calibri"/>
          <w:color w:val="000000"/>
        </w:rPr>
        <w:t xml:space="preserve"> may claim that a critique of themselves or their group may cause divisiveness in society or their movement. (“Love it or leave” is an example of this.) In all logical fallacies, and in terms of propaganda in general, try to see the other possible conclusions of the argument, not simply those presented by the user of propaganda.</w:t>
      </w:r>
    </w:p>
    <w:p w14:paraId="115FE68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476A0D8" w14:textId="77777777" w:rsidR="009E2D5F" w:rsidRDefault="009E2D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3128D947" w14:textId="77777777" w:rsidR="009E2D5F" w:rsidRDefault="009E2D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1338D3EE" w14:textId="77777777" w:rsidR="009E2D5F" w:rsidRDefault="009E2D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2217BB4F" w14:textId="77777777" w:rsidR="009E2D5F" w:rsidRDefault="009E2D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6A2F96B8" w14:textId="77777777" w:rsidR="009E2D5F" w:rsidRDefault="009E2D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271B6F1C" w14:textId="03799401"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lastRenderedPageBreak/>
        <w:t>Suggestive Techniques</w:t>
      </w:r>
    </w:p>
    <w:p w14:paraId="6282432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Many triggers or cues are innate. An example of a trigger or cue could be a hot feeling when going near an oven burner. Almost instinctively, a person would pull their hand away from the burner. This would be an unconditioned response. There are conditioned and unconditioned triggers or stimuli and conditioned or unconditioned responses. Pavlovian classical conditioning involves pairing an </w:t>
      </w:r>
      <w:proofErr w:type="gramStart"/>
      <w:r>
        <w:rPr>
          <w:rFonts w:ascii="Calibri" w:hAnsi="Calibri"/>
          <w:color w:val="000000"/>
        </w:rPr>
        <w:t>unconditioned stimuli</w:t>
      </w:r>
      <w:proofErr w:type="gramEnd"/>
      <w:r>
        <w:rPr>
          <w:rFonts w:ascii="Calibri" w:hAnsi="Calibri"/>
          <w:color w:val="000000"/>
        </w:rPr>
        <w:t xml:space="preserve"> with a conditioned stimuli to get a conditioned response.</w:t>
      </w:r>
    </w:p>
    <w:p w14:paraId="3A5677D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2417DE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The famous example of dogs salivating when a </w:t>
      </w:r>
      <w:proofErr w:type="gramStart"/>
      <w:r>
        <w:rPr>
          <w:rFonts w:ascii="Calibri" w:hAnsi="Calibri"/>
          <w:color w:val="000000"/>
        </w:rPr>
        <w:t>bell rings</w:t>
      </w:r>
      <w:proofErr w:type="gramEnd"/>
      <w:r>
        <w:rPr>
          <w:rFonts w:ascii="Calibri" w:hAnsi="Calibri"/>
          <w:color w:val="000000"/>
        </w:rPr>
        <w:t xml:space="preserve"> is an example of classical conditioning. The dogs were conditioned to do this. The unconditioned stimuli may have been the smell of food, and the unconditioned (normal) response was salivation. The unconditioned stimuli, the smell of food was paired with the soon to be conditioned stimuli, the bell. Eventually when one withdraws the smell of food stimuli, the bell alone produces salivation. This is the new conditioned response.</w:t>
      </w:r>
    </w:p>
    <w:p w14:paraId="6CBBD317" w14:textId="77777777" w:rsidR="00B13E82" w:rsidRDefault="00B13E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4587E33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Programming is </w:t>
      </w:r>
      <w:proofErr w:type="gramStart"/>
      <w:r>
        <w:rPr>
          <w:rFonts w:ascii="Calibri" w:hAnsi="Calibri"/>
          <w:color w:val="000000"/>
        </w:rPr>
        <w:t>similar to</w:t>
      </w:r>
      <w:proofErr w:type="gramEnd"/>
      <w:r>
        <w:rPr>
          <w:rFonts w:ascii="Calibri" w:hAnsi="Calibri"/>
          <w:color w:val="000000"/>
        </w:rPr>
        <w:t xml:space="preserve"> this in several ways. A survivor may be tortured repeatedly until a new </w:t>
      </w:r>
      <w:proofErr w:type="gramStart"/>
      <w:r>
        <w:rPr>
          <w:rFonts w:ascii="Calibri" w:hAnsi="Calibri"/>
          <w:color w:val="000000"/>
        </w:rPr>
        <w:t>alter</w:t>
      </w:r>
      <w:proofErr w:type="gramEnd"/>
      <w:r>
        <w:rPr>
          <w:rFonts w:ascii="Calibri" w:hAnsi="Calibri"/>
          <w:color w:val="000000"/>
        </w:rPr>
        <w:t xml:space="preserve"> is created. This alter will be given a cue to let them know when to come out, this could be a smell, word, number, sound, color and so on. This cue is either paired with the </w:t>
      </w:r>
      <w:proofErr w:type="spellStart"/>
      <w:r>
        <w:rPr>
          <w:rFonts w:ascii="Calibri" w:hAnsi="Calibri"/>
          <w:color w:val="000000"/>
        </w:rPr>
        <w:t>alter’s</w:t>
      </w:r>
      <w:proofErr w:type="spellEnd"/>
      <w:r>
        <w:rPr>
          <w:rFonts w:ascii="Calibri" w:hAnsi="Calibri"/>
          <w:color w:val="000000"/>
        </w:rPr>
        <w:t xml:space="preserve"> creation and is given to the alter to listen for or to look for. (How Cues and Programming Work in Mind Control and Propaganda – Neil Brick)</w:t>
      </w:r>
    </w:p>
    <w:p w14:paraId="09251FE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William Sargant (Battle for the Mind) first looked at combat PTSD and compared it to Pavlov’s classical conditioning. He extended Pavlov’s model to explain how people could change their world view suddenly. This was caused by intense trauma, followed by a person’s personality </w:t>
      </w:r>
      <w:proofErr w:type="gramStart"/>
      <w:r>
        <w:rPr>
          <w:rFonts w:ascii="Calibri" w:hAnsi="Calibri"/>
          <w:color w:val="000000"/>
        </w:rPr>
        <w:t>breaking down</w:t>
      </w:r>
      <w:proofErr w:type="gramEnd"/>
      <w:r>
        <w:rPr>
          <w:rFonts w:ascii="Calibri" w:hAnsi="Calibri"/>
          <w:color w:val="000000"/>
        </w:rPr>
        <w:t>, followed by the application of new ways of thinking. Pavlov’s dogs during a flood either forgot or reversed their previous training.</w:t>
      </w:r>
    </w:p>
    <w:p w14:paraId="7044E59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Current models of PTSD suggest that PTSD can be understood as learned helplessness, a set of foci in the brain firing repeatedly and inappropriately. Cognitively, a person’s world view is </w:t>
      </w:r>
      <w:proofErr w:type="gramStart"/>
      <w:r>
        <w:rPr>
          <w:rFonts w:ascii="Calibri" w:hAnsi="Calibri"/>
          <w:color w:val="000000"/>
        </w:rPr>
        <w:t>so changed</w:t>
      </w:r>
      <w:proofErr w:type="gramEnd"/>
      <w:r>
        <w:rPr>
          <w:rFonts w:ascii="Calibri" w:hAnsi="Calibri"/>
          <w:color w:val="000000"/>
        </w:rPr>
        <w:t xml:space="preserve"> as to become untenable. Pavlov’s observations on animals breaking down under extreme stress could be applied to humans and survivors.</w:t>
      </w:r>
    </w:p>
    <w:p w14:paraId="1E28861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3AC9E5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Pavlov (Beyond freedom and dignity) was able to build up and break down behavior patterns in dogs. Pavlov’s work seems to have influenced confession getting and brainwashing techniques</w:t>
      </w:r>
      <w:proofErr w:type="gramStart"/>
      <w:r>
        <w:rPr>
          <w:rFonts w:ascii="Calibri" w:hAnsi="Calibri"/>
          <w:color w:val="000000"/>
        </w:rPr>
        <w:t>….Each</w:t>
      </w:r>
      <w:proofErr w:type="gramEnd"/>
      <w:r>
        <w:rPr>
          <w:rFonts w:ascii="Calibri" w:hAnsi="Calibri"/>
          <w:color w:val="000000"/>
        </w:rPr>
        <w:t xml:space="preserve"> type reacted differently to stress. Pavlov could cause a dog to break down by increasing the intensity of a signal (electricity), delaying the time between the signal and food, confusing them with positive and negative signals interchanged or tampering with its physical condition. If a dog of stable temperament acquires a behavior after extreme stress, it is hard to break this behavior. This could be compared to a person of strong character becoming a one-track minded fanatic.</w:t>
      </w:r>
    </w:p>
    <w:p w14:paraId="6043006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572CA2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According to Sargant, various types of beliefs can be implanted in people after brain functioning has been disturbed by fear, </w:t>
      </w:r>
      <w:proofErr w:type="gramStart"/>
      <w:r>
        <w:rPr>
          <w:rFonts w:ascii="Calibri" w:hAnsi="Calibri"/>
          <w:color w:val="000000"/>
        </w:rPr>
        <w:t>anger</w:t>
      </w:r>
      <w:proofErr w:type="gramEnd"/>
      <w:r>
        <w:rPr>
          <w:rFonts w:ascii="Calibri" w:hAnsi="Calibri"/>
          <w:color w:val="000000"/>
        </w:rPr>
        <w:t xml:space="preserve"> or excitement. These cause heightened suggestibility and impaired judgement. These group manifestations may be classified as the herd instinct, they appear most strongly in wartime and periods of common danger. (Battle for the Mind)</w:t>
      </w:r>
    </w:p>
    <w:p w14:paraId="1FC315FD"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A2F452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implications for survivors of ritual abuse and their symptoms are obvious. Increased trauma could cause dissociation, making a person more susceptible to suggestion. The delay of gratification could also make one more suggestible. Positive and negative signals interchanged, like praise and insults given rapidly can cause a break. Or the lack of sleep, food or drugging can also make one more suggestible. And once a survivor becomes suggestible, they are easier to program or reprogram. (How Cues and Programming Work in Mind Control and Propaganda – Neil Brick)</w:t>
      </w:r>
    </w:p>
    <w:p w14:paraId="227BE20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Sutphen in his article talks about “Shock and Confusion,” how people go into a meditative state when scared and are more likely to be compliant to the second suggestion. If people are made to feel guilty that they were given something, they are more likely to follow the next command, like give money, etc.</w:t>
      </w:r>
    </w:p>
    <w:p w14:paraId="0599D9C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p>
    <w:p w14:paraId="7A43FDC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The Birth of Conversion</w:t>
      </w:r>
    </w:p>
    <w:p w14:paraId="1D6BC9B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CONVERSION is a “nice” word for BRAINWASHING</w:t>
      </w:r>
      <w:proofErr w:type="gramStart"/>
      <w:r>
        <w:rPr>
          <w:rFonts w:ascii="Calibri" w:hAnsi="Calibri"/>
          <w:color w:val="000000"/>
        </w:rPr>
        <w:t>….Jonathan</w:t>
      </w:r>
      <w:proofErr w:type="gramEnd"/>
      <w:r>
        <w:rPr>
          <w:rFonts w:ascii="Calibri" w:hAnsi="Calibri"/>
          <w:color w:val="000000"/>
        </w:rPr>
        <w:t xml:space="preserve"> Edwards accidentally discovered the techniques during a religious crusade in 1735 in Northampton, Massachusetts. By inducing guilt and acute apprehension and by increasing the tension, the “sinners” attending his revival meetings would break down and completely submit. Technically, what Edwards was doing was creating conditions that wipe the brain slate clean so that the mind accepts new programming. The problem was that the new input was negative.</w:t>
      </w:r>
    </w:p>
    <w:p w14:paraId="4B26F05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FDDFDB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Once a preacher, cult leader, manipulator or authority figure creates the brain phase to wipe the brain-slate clean, his subjects are wide open. New input, in the form of suggestion, can be substituted for their previous ideas. (THE BATTLE FOR YOUR MIND by Dick Sutphen)</w:t>
      </w:r>
    </w:p>
    <w:p w14:paraId="725A0D7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3C4A2B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Mind Control</w:t>
      </w:r>
    </w:p>
    <w:p w14:paraId="29A24D5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“Between 1953 and 1966, the Central Intelligence Agency financed a wide-ranging project, code-named MKULTRA, concerned with ‘the research and development of chemical, biological, and radiological materials capable of employment in clandestine operations to control human behavior.’ The program consisted of some 149 subprojects which the Agency contracted out to various universities, research foundations, and similar institutions. At least 80 institutions and 185 private researchers participated. Because the Agency funded MKULTRA indirectly, many of the participating individuals were unaware that they were dealing with the Agency.” (The Law and Mind Control)</w:t>
      </w:r>
    </w:p>
    <w:p w14:paraId="527D27A4"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666AB2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“MKULTRA was established to counter perceived Soviet and Chinese advances in brainwashing and interrogation techniques. Over the years the program included various medical and psychological experiments, some of which led to untoward results. These aspects of MKULTRA surfaced publicly during the 1970’s and became the subject of executive and congressional investigations”. Id. 162. (The Law and Mind Control)</w:t>
      </w:r>
    </w:p>
    <w:p w14:paraId="4BC0B23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3A81A08D"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“MKULTRA began with a proposal from Richard Helms, then the Agency’s Assistant Deputy Director for Plans. Helms outlined a special funding mechanism for highly sensitive Agency research and development projects that would study the use of biological and chemical materials in altering human behavior. MKULTRA was approved by Allen Dulles, then the Director of Central Intelligence, on April 13, 1953”. (The Law and Mind Control)</w:t>
      </w:r>
    </w:p>
    <w:p w14:paraId="19F92062"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55C1D4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“Several MKULTRA subprojects involved experiments where researchers surreptitiously administered dangerous drugs, such as LSD, to unwitting human subjects. At least two persons died </w:t>
      </w:r>
      <w:proofErr w:type="gramStart"/>
      <w:r>
        <w:rPr>
          <w:rFonts w:ascii="Calibri" w:hAnsi="Calibri"/>
          <w:color w:val="000000"/>
        </w:rPr>
        <w:t>as a result of</w:t>
      </w:r>
      <w:proofErr w:type="gramEnd"/>
      <w:r>
        <w:rPr>
          <w:rFonts w:ascii="Calibri" w:hAnsi="Calibri"/>
          <w:color w:val="000000"/>
        </w:rPr>
        <w:t xml:space="preserve"> MKULTRA experiments, and others may have suffered impaired health because of the testing.” (The Law and Mind Control)</w:t>
      </w:r>
    </w:p>
    <w:p w14:paraId="39DCFAAD"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D89814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In 1977, the Agency located some 8,000 pages of previously undisclosed MKULTRA documents. These consisted mostly of financial records that had inadvertently survived the 1973 records destruction. Upon this discovery, Agency Director Stansfield Turner notified the Senate Select Committee on Intelligence and later testified at a joint hearing before the Select Committee and the Subcommittee on Health and Scientific Resources of the Senate Committee on Human Resources. Although the Joint Committee was given a complete list of the MKULTRA researchers and institutions, the Committee honored the Agency’s request to treat the names as confidential. Respondents sought the surviving MKULTRA records that would provide this information. (The Law and Mind Control)</w:t>
      </w:r>
    </w:p>
    <w:p w14:paraId="4F3291F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216515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US Supreme Court again confronted issues related to MKULTRA and the use of LSD on unwitting human subjects in United States vs Stanley, 483 U.S. 669 (1987). In February 1958, James B. Stanley, a master sergeant in the Army stationed at Fort Knox, Kentucky, volunteered to participate in a program ostensibly designed to test the effectiveness of protective clothing and equipment as defenses against chemical warfare. He was released from his then-current duties and went to the Army’s Chemical Warfare Laboratories at the Aberdeen Proving Grounds in Maryland. Four times that month, Stanley was secretly administered doses of lysergic acid diethylamide (LSD), pursuant to an Army plan to study the effects of the drug on human subjects. (The Law and Mind Control)</w:t>
      </w:r>
    </w:p>
    <w:p w14:paraId="0D3AB78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09F1F0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“During the war, Cameron was part of an international committee of psychiatrists and social scientists who studied the origins and nature of nazi culture. He published numerous articles on mass psychology during wartime”. Congressional Record – Senate, 99th Cong. 1st Session, Volume 131 No. 106, Part 2, 131 Cong. Rec. S. 11008 quoting The Experiments of Dr. D. Ewen Cameron, Washington Post July 28, 1985. (The Law and Mind Control)</w:t>
      </w:r>
    </w:p>
    <w:p w14:paraId="1376A58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49B96FF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“To erase or ‘de-pattern’ personality traits, Cameron gave his subjects </w:t>
      </w:r>
      <w:proofErr w:type="spellStart"/>
      <w:r>
        <w:rPr>
          <w:rFonts w:ascii="Calibri" w:hAnsi="Calibri"/>
          <w:color w:val="000000"/>
        </w:rPr>
        <w:t>megadoses</w:t>
      </w:r>
      <w:proofErr w:type="spellEnd"/>
      <w:r>
        <w:rPr>
          <w:rFonts w:ascii="Calibri" w:hAnsi="Calibri"/>
          <w:color w:val="000000"/>
        </w:rPr>
        <w:t xml:space="preserve"> of LSD, subjected them to drug-induced “sleep therapy” for up to 65 consecutive days and applied electroshock therapy at 75 times the usual intensity. To shape new behavior, Cameron forced them to listen to repeated recorded messages for 16-hour intervals, a technique known as ‘psychic driving,’ Cameron and the CIA were interested in brainwashing and the ability to redirect thought and action. The patients did not consent to the treatment and were never told they were being used for research”. Congressional Record – Senate, 99th Cong. 1st Session, Volume 131 No. 106, Part 2, 131 Cong. Rec. S. 11008 quoting The Experiments of Dr. D. Ewen Cameron, Washington Post July 28, 1985 (The Law and Mind Control)</w:t>
      </w:r>
    </w:p>
    <w:p w14:paraId="6A09C9A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489BA8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CIA stonewalled and despite pleas by Senate members to settle the claims, the suit dragged on for years settling in 1988 for the relatively modest sum of $750,000.00, split among the remaining eight plaintiffs. (The Law and Mind Control)</w:t>
      </w:r>
    </w:p>
    <w:p w14:paraId="02C48823"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48A74CB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Justice Department announced today that it had settled a lawsuit by nine Canadians who charged that the C.I.A. made them the subjects of mind-control experiments involving drugs.</w:t>
      </w:r>
    </w:p>
    <w:p w14:paraId="553672C1"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4DD2D0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In a statement, the department said the plaintiffs would share $750,000. The plaintiffs were patients of D. Ewen Cameron, a psychiatrist at McGill University in Montreal who received money from the C.I.A. to do research into drugs that could be used to control human behavior.</w:t>
      </w:r>
    </w:p>
    <w:p w14:paraId="54155A5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523835B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 xml:space="preserve">According to Government records, the nine were not told that they were the subjects of the experiments, which were conducted in the 1950’s. The plaintiffs were subjected to heavy doses of the hallucinogen LSD. They were also given shock treatments and large doses of barbiturates…The statement said that in 1957, the C.I.A. gave Dr. Cameron a grant of $60,000, which Dr. Cameron used along with a $200,000 grant from the Canadian Government to finance his experiments. </w:t>
      </w:r>
      <w:proofErr w:type="gramStart"/>
      <w:r>
        <w:rPr>
          <w:rFonts w:ascii="Calibri" w:hAnsi="Calibri"/>
          <w:color w:val="000000"/>
        </w:rPr>
        <w:t>”His</w:t>
      </w:r>
      <w:proofErr w:type="gramEnd"/>
      <w:r>
        <w:rPr>
          <w:rFonts w:ascii="Calibri" w:hAnsi="Calibri"/>
          <w:color w:val="000000"/>
        </w:rPr>
        <w:t xml:space="preserve"> treatment was not designed, directed or controlled by the C.I.A.,” the statement said. (U.S. to Pay $750,000 In Suit on LSD Testing – New York Times)</w:t>
      </w:r>
    </w:p>
    <w:p w14:paraId="5171937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D32D18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Gottlieb admits that he made approximately six trips to New York in 1952, and that he “visited George White on two or three occasions in 1952 to discuss his becoming a consultant for the CIA in LSD research.” Gottlieb Declaration P4. White, a Bureau of Narcotics Agent, conducted LSD tests on unsuspecting persons in New York, including one experiment in which he gave LSD to a group of his friends in his New York apartment in November 1952. The record also reflects that beginning in June 1953, White covertly administered LSD to people in New York with whom he came into contact in his role as a narcotics agent. Gottlieb testified before the Kennedy Committee that White may have conducted his tests on one or more occasions by administering the drug to an unsuspecting person in a bar. (The Law and Mind Control)</w:t>
      </w:r>
    </w:p>
    <w:p w14:paraId="719C588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5FDB10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Ritual Abuse</w:t>
      </w:r>
    </w:p>
    <w:p w14:paraId="407E109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Dublin Hellfire Club (Montpelier Hill)</w:t>
      </w:r>
    </w:p>
    <w:p w14:paraId="3F4E8A81"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“The Irish Hellfire Club quickly gained notoriety by their open mockery of the church, that took the Enlightenment’s questioning of </w:t>
      </w:r>
      <w:proofErr w:type="spellStart"/>
      <w:r>
        <w:rPr>
          <w:rFonts w:ascii="Calibri" w:hAnsi="Calibri"/>
          <w:color w:val="000000"/>
        </w:rPr>
        <w:t>organised</w:t>
      </w:r>
      <w:proofErr w:type="spellEnd"/>
      <w:r>
        <w:rPr>
          <w:rFonts w:ascii="Calibri" w:hAnsi="Calibri"/>
          <w:color w:val="000000"/>
        </w:rPr>
        <w:t xml:space="preserve"> religion to a new level. An interesting letter from 1738, that purported to be written by a member of the club who used the pseudonym ‘Molock’, describes the Hellfire Club and its practices, including ‘the sacrifice of maidens’. . .”  The Dublin Hellfire Club (Montpelier Hill)</w:t>
      </w:r>
    </w:p>
    <w:p w14:paraId="43244C0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286A31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Hellfire Club soon became notorious for its excesses, which were often conducted in public. Its heavy drinking sessions were sometimes attended by sexual assault and violence, ending in murder on at least one recorded occasion”. (A History of Ritual Abuse 2) (Chapter 6 – Empirical Evidence of Ritual Abuse)</w:t>
      </w:r>
    </w:p>
    <w:p w14:paraId="622B28F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The following cases describe legal proceedings held in Juvenile, Family, Civil and Criminal Courts around the world where there have been allegations of Satanism or the use of Ritual to abuse others. Any religion or organization can be used as a front to hide ritual abuse activity, including Christianity, Buddhism, Shamanism, Hinduism, Masonry, Mormonism, Pagan and Satanic religions; however, not all Satanists commit crimes and not all occultism is Satanism. It is imperative that investigators and professionals familiarize themselves with cross-cultural belief systems so as not to target any </w:t>
      </w:r>
      <w:proofErr w:type="gramStart"/>
      <w:r>
        <w:rPr>
          <w:rFonts w:ascii="Calibri" w:hAnsi="Calibri"/>
          <w:color w:val="000000"/>
        </w:rPr>
        <w:t>particular group</w:t>
      </w:r>
      <w:proofErr w:type="gramEnd"/>
      <w:r>
        <w:rPr>
          <w:rFonts w:ascii="Calibri" w:hAnsi="Calibri"/>
          <w:color w:val="000000"/>
        </w:rPr>
        <w:t>. (Satanism and Ritual Abuse Archive)</w:t>
      </w:r>
    </w:p>
    <w:p w14:paraId="2CD0028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Entire families have been implicated in the ritual abuse of children which proves the fact that generational Satanism exists. See the following legal cases: Parker (1995), Figured/Hill (1994), and Gallup (1991). </w:t>
      </w:r>
    </w:p>
    <w:p w14:paraId="42FE74C6"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36D2A77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Perpetrators have been found to be professionals who work in law enforcement, the military or daycare, and Christian fronts have been used in some instances as a means of hiding the satanic motivation of the perpetrators. See Cannaday (1994), Wright (1992), Gallup (1991), and Orr (1984). In several cases the perpetrators have confessed to the satanic element of the crime or participation in prior satanic offenses. See Helms (2006), Cala (2003), Smith (2003), Delaney (2002), Morris (2001), South (2000), Page (2000), T. </w:t>
      </w:r>
      <w:proofErr w:type="spellStart"/>
      <w:r>
        <w:rPr>
          <w:rFonts w:ascii="Calibri" w:hAnsi="Calibri"/>
          <w:color w:val="000000"/>
        </w:rPr>
        <w:t>Kokoraleis</w:t>
      </w:r>
      <w:proofErr w:type="spellEnd"/>
      <w:r>
        <w:rPr>
          <w:rFonts w:ascii="Calibri" w:hAnsi="Calibri"/>
          <w:color w:val="000000"/>
        </w:rPr>
        <w:t xml:space="preserve"> (1999), Bonacci (1999), Brooks (1996), Hughes (1996), Penick (1995), Alvarado (1995), Ingram (1992), Rogers (1992), and Fryman (1988). (Satanism and Ritual Abuse Archive)</w:t>
      </w:r>
    </w:p>
    <w:p w14:paraId="4A6EA03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10676F1"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 xml:space="preserve">In addition to court documents this archive also references news articles that document the ritual elements of the crime which include perpetrator confessions, cannibalism, murder, mutilation in the context of Satanism, and there is ample evidence to prove the existence of cult groups who sacrifice their victims as an offering to Satan. This proves beyond doubt that unusual occult belief systems </w:t>
      </w:r>
      <w:proofErr w:type="gramStart"/>
      <w:r>
        <w:rPr>
          <w:rFonts w:ascii="Calibri" w:hAnsi="Calibri"/>
          <w:color w:val="000000"/>
        </w:rPr>
        <w:t>exist</w:t>
      </w:r>
      <w:proofErr w:type="gramEnd"/>
      <w:r>
        <w:rPr>
          <w:rFonts w:ascii="Calibri" w:hAnsi="Calibri"/>
          <w:color w:val="000000"/>
        </w:rPr>
        <w:t xml:space="preserve"> and the bizarre acts committed by these individuals are not only not unusual, they are commonplace. (Satanism and Ritual Abuse Archive)</w:t>
      </w:r>
    </w:p>
    <w:p w14:paraId="400DBE2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A45171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McMartin</w:t>
      </w:r>
    </w:p>
    <w:p w14:paraId="7793B24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February 1984 Seven defendants are arrested and charged with 207 counts of child molestation and conspiracy. Over 90 McMartin parents, file a civil suit against Virginia McMartin, Peggy Buckey, Betty </w:t>
      </w:r>
      <w:proofErr w:type="spellStart"/>
      <w:r>
        <w:rPr>
          <w:rFonts w:ascii="Calibri" w:hAnsi="Calibri"/>
          <w:color w:val="000000"/>
        </w:rPr>
        <w:t>Raidor</w:t>
      </w:r>
      <w:proofErr w:type="spellEnd"/>
      <w:r>
        <w:rPr>
          <w:rFonts w:ascii="Calibri" w:hAnsi="Calibri"/>
          <w:color w:val="000000"/>
        </w:rPr>
        <w:t xml:space="preserve">, Babette Spitler, Peggy Ann Buckey and Ray Buckey for assault and battery and intentional infliction of emotional distress with one attorney. Others file </w:t>
      </w:r>
      <w:proofErr w:type="gramStart"/>
      <w:r>
        <w:rPr>
          <w:rFonts w:ascii="Calibri" w:hAnsi="Calibri"/>
          <w:color w:val="000000"/>
        </w:rPr>
        <w:t>suit</w:t>
      </w:r>
      <w:proofErr w:type="gramEnd"/>
      <w:r>
        <w:rPr>
          <w:rFonts w:ascii="Calibri" w:hAnsi="Calibri"/>
          <w:color w:val="000000"/>
        </w:rPr>
        <w:t xml:space="preserve"> with other attorneys. All suits are eventually dropped by civil attorneys after the </w:t>
      </w:r>
      <w:proofErr w:type="gramStart"/>
      <w:r>
        <w:rPr>
          <w:rFonts w:ascii="Calibri" w:hAnsi="Calibri"/>
          <w:color w:val="000000"/>
        </w:rPr>
        <w:t>6 year</w:t>
      </w:r>
      <w:proofErr w:type="gramEnd"/>
      <w:r>
        <w:rPr>
          <w:rFonts w:ascii="Calibri" w:hAnsi="Calibri"/>
          <w:color w:val="000000"/>
        </w:rPr>
        <w:t xml:space="preserve"> statute of limitations expired before the trial ended. Civil suits by families are never refiled.</w:t>
      </w:r>
    </w:p>
    <w:p w14:paraId="782B67B1"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March 11, </w:t>
      </w:r>
      <w:proofErr w:type="gramStart"/>
      <w:r>
        <w:rPr>
          <w:rFonts w:ascii="Calibri" w:hAnsi="Calibri"/>
          <w:color w:val="000000"/>
        </w:rPr>
        <w:t>1984</w:t>
      </w:r>
      <w:proofErr w:type="gramEnd"/>
      <w:r>
        <w:rPr>
          <w:rFonts w:ascii="Calibri" w:hAnsi="Calibri"/>
          <w:color w:val="000000"/>
        </w:rPr>
        <w:t xml:space="preserve"> A number of other daycare centers in the Los Angeles area are closed by the California State Department of Public Social Services. Ten additional schools are closed in the South Bay area.</w:t>
      </w:r>
    </w:p>
    <w:p w14:paraId="3435F51A"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March 22, </w:t>
      </w:r>
      <w:proofErr w:type="gramStart"/>
      <w:r>
        <w:rPr>
          <w:rFonts w:ascii="Calibri" w:hAnsi="Calibri"/>
          <w:color w:val="000000"/>
        </w:rPr>
        <w:t>1984</w:t>
      </w:r>
      <w:proofErr w:type="gramEnd"/>
      <w:r>
        <w:rPr>
          <w:rFonts w:ascii="Calibri" w:hAnsi="Calibri"/>
          <w:color w:val="000000"/>
        </w:rPr>
        <w:t xml:space="preserve"> Teachers Peggy Buckey, Virginia McMartin, Ray Buckey, Peggy Ann Buckey (Ray’s sister), Mary Ann Jackson, Betty </w:t>
      </w:r>
      <w:proofErr w:type="spellStart"/>
      <w:r>
        <w:rPr>
          <w:rFonts w:ascii="Calibri" w:hAnsi="Calibri"/>
          <w:color w:val="000000"/>
        </w:rPr>
        <w:t>Raidor</w:t>
      </w:r>
      <w:proofErr w:type="spellEnd"/>
      <w:r>
        <w:rPr>
          <w:rFonts w:ascii="Calibri" w:hAnsi="Calibri"/>
          <w:color w:val="000000"/>
        </w:rPr>
        <w:t>, and Babette Spitler are indicted on 115 counts of child sexual abuse.</w:t>
      </w:r>
    </w:p>
    <w:p w14:paraId="1508AD6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April 2, </w:t>
      </w:r>
      <w:proofErr w:type="gramStart"/>
      <w:r>
        <w:rPr>
          <w:rFonts w:ascii="Calibri" w:hAnsi="Calibri"/>
          <w:color w:val="000000"/>
        </w:rPr>
        <w:t>1984</w:t>
      </w:r>
      <w:proofErr w:type="gramEnd"/>
      <w:r>
        <w:rPr>
          <w:rFonts w:ascii="Calibri" w:hAnsi="Calibri"/>
          <w:color w:val="000000"/>
        </w:rPr>
        <w:t xml:space="preserve"> The L. A. Times reports that students at McMartin have been fondled, raped, drugged, photographed nude, forced to witness animals being slaughtered and threatened to keep silent.</w:t>
      </w:r>
    </w:p>
    <w:p w14:paraId="08F122C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May 23, </w:t>
      </w:r>
      <w:proofErr w:type="gramStart"/>
      <w:r>
        <w:rPr>
          <w:rFonts w:ascii="Calibri" w:hAnsi="Calibri"/>
          <w:color w:val="000000"/>
        </w:rPr>
        <w:t>1984</w:t>
      </w:r>
      <w:proofErr w:type="gramEnd"/>
      <w:r>
        <w:rPr>
          <w:rFonts w:ascii="Calibri" w:hAnsi="Calibri"/>
          <w:color w:val="000000"/>
        </w:rPr>
        <w:t xml:space="preserve"> The prosecution files 93 new counts. The indictment count reaches 208, involving 40 alleged child victims.</w:t>
      </w:r>
    </w:p>
    <w:p w14:paraId="25D02EB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Fall 1983 to March 1984 Nearly 400 children were interviewed at Children’s Institute International. Forty-one children are listed as victims in a complaint filed by the State. The count of those diagnosed as sexually abused reaches 360 students. DA Robert Philibosian announces the 1976 Karen Klass murder case will be reexamined to determine if it could be linked to the McMartin case. Klass was the ex-wife of Righteous Brother Bill Medley. She had been murdered approximately an hour after leaving her 5-year-old son at </w:t>
      </w:r>
      <w:proofErr w:type="gramStart"/>
      <w:r>
        <w:rPr>
          <w:rFonts w:ascii="Calibri" w:hAnsi="Calibri"/>
          <w:color w:val="000000"/>
        </w:rPr>
        <w:t>the preschool</w:t>
      </w:r>
      <w:proofErr w:type="gramEnd"/>
      <w:r>
        <w:rPr>
          <w:rFonts w:ascii="Calibri" w:hAnsi="Calibri"/>
          <w:color w:val="000000"/>
        </w:rPr>
        <w:t>. Klass’ husband also died shortly after the McMartin indictments in March 1984. His death was ruled an accident after he drove off a mountain road one afternoon in Oregon.</w:t>
      </w:r>
    </w:p>
    <w:p w14:paraId="3E9E11EE"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March 22, 1984, Los Angeles Grand Jury issues indictment charging 7 former teachers with 115 counts.</w:t>
      </w:r>
    </w:p>
    <w:p w14:paraId="5122A84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April 7, </w:t>
      </w:r>
      <w:proofErr w:type="gramStart"/>
      <w:r>
        <w:rPr>
          <w:rFonts w:ascii="Calibri" w:hAnsi="Calibri"/>
          <w:color w:val="000000"/>
        </w:rPr>
        <w:t>1984</w:t>
      </w:r>
      <w:proofErr w:type="gramEnd"/>
      <w:r>
        <w:rPr>
          <w:rFonts w:ascii="Calibri" w:hAnsi="Calibri"/>
          <w:color w:val="000000"/>
        </w:rPr>
        <w:t xml:space="preserve"> Bail revoked for 5 defendants who had been free on bail when 400 additional sex acts are presented.</w:t>
      </w:r>
    </w:p>
    <w:p w14:paraId="399FB82A"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May 24, </w:t>
      </w:r>
      <w:proofErr w:type="gramStart"/>
      <w:r>
        <w:rPr>
          <w:rFonts w:ascii="Calibri" w:hAnsi="Calibri"/>
          <w:color w:val="000000"/>
        </w:rPr>
        <w:t>1984</w:t>
      </w:r>
      <w:proofErr w:type="gramEnd"/>
      <w:r>
        <w:rPr>
          <w:rFonts w:ascii="Calibri" w:hAnsi="Calibri"/>
          <w:color w:val="000000"/>
        </w:rPr>
        <w:t xml:space="preserve"> An additional 92 counts of child molestation are filed against all 7 defendants. A charge of conspiracy to commit lewd and lascivious acts by force or threat of force on a child under 14. Count is now 207 against 42 children….</w:t>
      </w:r>
    </w:p>
    <w:p w14:paraId="3F68F87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January 18, </w:t>
      </w:r>
      <w:proofErr w:type="gramStart"/>
      <w:r>
        <w:rPr>
          <w:rFonts w:ascii="Calibri" w:hAnsi="Calibri"/>
          <w:color w:val="000000"/>
        </w:rPr>
        <w:t>1990</w:t>
      </w:r>
      <w:proofErr w:type="gramEnd"/>
      <w:r>
        <w:rPr>
          <w:rFonts w:ascii="Calibri" w:hAnsi="Calibri"/>
          <w:color w:val="000000"/>
        </w:rPr>
        <w:t xml:space="preserve"> The jury returns its verdict in the first McMartin trial. Peggy and Ray Buckey </w:t>
      </w:r>
      <w:proofErr w:type="gramStart"/>
      <w:r>
        <w:rPr>
          <w:rFonts w:ascii="Calibri" w:hAnsi="Calibri"/>
          <w:color w:val="000000"/>
        </w:rPr>
        <w:t>are</w:t>
      </w:r>
      <w:proofErr w:type="gramEnd"/>
      <w:r>
        <w:rPr>
          <w:rFonts w:ascii="Calibri" w:hAnsi="Calibri"/>
          <w:color w:val="000000"/>
        </w:rPr>
        <w:t xml:space="preserve"> acquitted on 52 counts. The jury deadlocks on 13 counts, all against Ray Buckey. The jurors are polled and say they believe molestation took place at the preschool but that the prosecution did not prove the case. They expressed disappointment at not hearing more from the children.</w:t>
      </w:r>
    </w:p>
    <w:p w14:paraId="391041C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January (late) 1990 District Attorney Reiner announces that he will retry Ray Buckey on eight of the 13 counts involving three girls.</w:t>
      </w:r>
    </w:p>
    <w:p w14:paraId="3FB8154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February 5, </w:t>
      </w:r>
      <w:proofErr w:type="gramStart"/>
      <w:r>
        <w:rPr>
          <w:rFonts w:ascii="Calibri" w:hAnsi="Calibri"/>
          <w:color w:val="000000"/>
        </w:rPr>
        <w:t>1990</w:t>
      </w:r>
      <w:proofErr w:type="gramEnd"/>
      <w:r>
        <w:rPr>
          <w:rFonts w:ascii="Calibri" w:hAnsi="Calibri"/>
          <w:color w:val="000000"/>
        </w:rPr>
        <w:t xml:space="preserve"> Deputy District Attorneys Joe Martinez and Pam Ferraro are assigned to the case. Incredibly, after the trial, it is discovered that Pam Ferraro was a former student of the McMartin Preschool. Photographs of her sitting on Peggy Buckey’s lap reading a book, sitting at a table with Peggy, </w:t>
      </w:r>
      <w:proofErr w:type="gramStart"/>
      <w:r>
        <w:rPr>
          <w:rFonts w:ascii="Calibri" w:hAnsi="Calibri"/>
          <w:color w:val="000000"/>
        </w:rPr>
        <w:t>Virginia</w:t>
      </w:r>
      <w:proofErr w:type="gramEnd"/>
      <w:r>
        <w:rPr>
          <w:rFonts w:ascii="Calibri" w:hAnsi="Calibri"/>
          <w:color w:val="000000"/>
        </w:rPr>
        <w:t xml:space="preserve"> and </w:t>
      </w:r>
      <w:proofErr w:type="gramStart"/>
      <w:r>
        <w:rPr>
          <w:rFonts w:ascii="Calibri" w:hAnsi="Calibri"/>
          <w:color w:val="000000"/>
        </w:rPr>
        <w:t>several of</w:t>
      </w:r>
      <w:proofErr w:type="gramEnd"/>
      <w:r>
        <w:rPr>
          <w:rFonts w:ascii="Calibri" w:hAnsi="Calibri"/>
          <w:color w:val="000000"/>
        </w:rPr>
        <w:t xml:space="preserve"> other students as well as a McMartin preschool class picture including Peggy and Virginia.</w:t>
      </w:r>
    </w:p>
    <w:p w14:paraId="1415488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 xml:space="preserve">April </w:t>
      </w:r>
      <w:proofErr w:type="gramStart"/>
      <w:r>
        <w:rPr>
          <w:rFonts w:ascii="Calibri" w:hAnsi="Calibri"/>
          <w:color w:val="000000"/>
        </w:rPr>
        <w:t>May,</w:t>
      </w:r>
      <w:proofErr w:type="gramEnd"/>
      <w:r>
        <w:rPr>
          <w:rFonts w:ascii="Calibri" w:hAnsi="Calibri"/>
          <w:color w:val="000000"/>
        </w:rPr>
        <w:t xml:space="preserve"> 1990 Tunnels are found under the foundation of the McMartin preschool building by a team of Archaeologists headed by Dr. Gary Stickel. Ground Penetrating Radar recently developed by the U.S. Army is used to define the location of anomalies underground. Three segments of tunnel, one over 45 feet in length with a 9 x 9 room area are found exactly where the children said they were. </w:t>
      </w:r>
      <w:proofErr w:type="gramStart"/>
      <w:r>
        <w:rPr>
          <w:rFonts w:ascii="Calibri" w:hAnsi="Calibri"/>
          <w:color w:val="000000"/>
        </w:rPr>
        <w:t>District</w:t>
      </w:r>
      <w:proofErr w:type="gramEnd"/>
      <w:r>
        <w:rPr>
          <w:rFonts w:ascii="Calibri" w:hAnsi="Calibri"/>
          <w:color w:val="000000"/>
        </w:rPr>
        <w:t xml:space="preserve"> Attorney does not use the evidence because of time and money constraints and the fact that they would have to start a new investigation of their own at the site as they did in 1985. The discoveries are widely reported in the news.</w:t>
      </w:r>
    </w:p>
    <w:p w14:paraId="0F8BD63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May 30, </w:t>
      </w:r>
      <w:proofErr w:type="gramStart"/>
      <w:r>
        <w:rPr>
          <w:rFonts w:ascii="Calibri" w:hAnsi="Calibri"/>
          <w:color w:val="000000"/>
        </w:rPr>
        <w:t>1990</w:t>
      </w:r>
      <w:proofErr w:type="gramEnd"/>
      <w:r>
        <w:rPr>
          <w:rFonts w:ascii="Calibri" w:hAnsi="Calibri"/>
          <w:color w:val="000000"/>
        </w:rPr>
        <w:t xml:space="preserve"> With the entire team of archaeologists, geologists still uncovering evidence of filled in tunnels, the McMartin Preschool is demolished by a bulldozer ordered by the new owner, developer, Arnold Goldstein. </w:t>
      </w:r>
      <w:proofErr w:type="gramStart"/>
      <w:r>
        <w:rPr>
          <w:rFonts w:ascii="Calibri" w:hAnsi="Calibri"/>
          <w:color w:val="000000"/>
        </w:rPr>
        <w:t>Final</w:t>
      </w:r>
      <w:proofErr w:type="gramEnd"/>
      <w:r>
        <w:rPr>
          <w:rFonts w:ascii="Calibri" w:hAnsi="Calibri"/>
          <w:color w:val="000000"/>
        </w:rPr>
        <w:t xml:space="preserve"> cost of the archaeological project, paid for by parents and donations, exceeds $53,000.</w:t>
      </w:r>
    </w:p>
    <w:p w14:paraId="02A66CF4"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July 27, </w:t>
      </w:r>
      <w:proofErr w:type="gramStart"/>
      <w:r>
        <w:rPr>
          <w:rFonts w:ascii="Calibri" w:hAnsi="Calibri"/>
          <w:color w:val="000000"/>
        </w:rPr>
        <w:t>1990</w:t>
      </w:r>
      <w:proofErr w:type="gramEnd"/>
      <w:r>
        <w:rPr>
          <w:rFonts w:ascii="Calibri" w:hAnsi="Calibri"/>
          <w:color w:val="000000"/>
        </w:rPr>
        <w:t xml:space="preserve"> On their 15th day of deliberations, the jury tells the judge they are hopelessly deadlocked on all 8 counts. The judge declares a mistrial. Juror L. I., a </w:t>
      </w:r>
      <w:proofErr w:type="gramStart"/>
      <w:r>
        <w:rPr>
          <w:rFonts w:ascii="Calibri" w:hAnsi="Calibri"/>
          <w:color w:val="000000"/>
        </w:rPr>
        <w:t>64 year old</w:t>
      </w:r>
      <w:proofErr w:type="gramEnd"/>
      <w:r>
        <w:rPr>
          <w:rFonts w:ascii="Calibri" w:hAnsi="Calibri"/>
          <w:color w:val="000000"/>
        </w:rPr>
        <w:t xml:space="preserve"> treasury department employee said, “I don’t know how you could get 12 people to be unanimous in this case. There are too many unanswered questions. Too much time has passed.” Again because of money and time constraints, DA Ira Reiner decides not to ask for a third trial of Ray Buckey. The first two prosecutions have consumed over $15 million and seven years of court time. He is under tremendous political pressure because he has failed in prosecuting the case. (McMartin Preschool Case – What Really Happened and the Coverup)</w:t>
      </w:r>
    </w:p>
    <w:p w14:paraId="45AE861C"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3) Research studies, like the Extreme Abuse Survivors Survey, will be presented, as well as examples of different cults and their techniques (Hassan, 2018).</w:t>
      </w:r>
    </w:p>
    <w:p w14:paraId="535BC63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02D078B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b/>
          <w:color w:val="000000"/>
        </w:rPr>
        <w:t>The Extreme Abuse Surveys (EAS)</w:t>
      </w:r>
      <w:r>
        <w:rPr>
          <w:rFonts w:ascii="Calibri" w:hAnsi="Calibri"/>
          <w:color w:val="000000"/>
        </w:rPr>
        <w:t xml:space="preserve"> were created to develop a qualitative and quantitative base of data regarding the accounts of survivors of extreme abuse.</w:t>
      </w:r>
    </w:p>
    <w:p w14:paraId="12B2B4B5"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CCB432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The international online survey was divided into three parts. The Extreme Abuse Survey for adult survivors (EAS), was conducted between January 1 and March 30, 2007. The Professional-Extreme Abuse Survey (P-EAS) was conducted between April 1 and June 30, 2007. This survey was for therapists, clergy, </w:t>
      </w:r>
      <w:proofErr w:type="gramStart"/>
      <w:r>
        <w:rPr>
          <w:rFonts w:ascii="Calibri" w:hAnsi="Calibri"/>
          <w:color w:val="000000"/>
        </w:rPr>
        <w:t>counselors</w:t>
      </w:r>
      <w:proofErr w:type="gramEnd"/>
      <w:r>
        <w:rPr>
          <w:rFonts w:ascii="Calibri" w:hAnsi="Calibri"/>
          <w:color w:val="000000"/>
        </w:rPr>
        <w:t xml:space="preserve"> and other persons that had worked professionally with at least one victim of extreme abuse. The Child-Extreme Abuse Survey (C-EAS) was conducted between July 8 and October 8, 2007. This survey was for caregivers of child survivors of extreme abuse and mind control. (Extreme Abuse Surveys)</w:t>
      </w:r>
    </w:p>
    <w:p w14:paraId="4CDBC68C"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65CB61D"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The main objective of the surveys was to gather preliminary data on the nature and extent of extreme abuse</w:t>
      </w:r>
      <w:proofErr w:type="gramStart"/>
      <w:r>
        <w:rPr>
          <w:rFonts w:ascii="Calibri" w:hAnsi="Calibri"/>
          <w:color w:val="000000"/>
        </w:rPr>
        <w:t>….The</w:t>
      </w:r>
      <w:proofErr w:type="gramEnd"/>
      <w:r>
        <w:rPr>
          <w:rFonts w:ascii="Calibri" w:hAnsi="Calibri"/>
          <w:color w:val="000000"/>
        </w:rPr>
        <w:t xml:space="preserve"> target population of the study was defined as all survivors of extreme abuse.</w:t>
      </w:r>
    </w:p>
    <w:p w14:paraId="4DC3346D"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Fourteen hundred and seventy-one participants from more than thirty countries answered at least one question </w:t>
      </w:r>
      <w:proofErr w:type="gramStart"/>
      <w:r>
        <w:rPr>
          <w:rFonts w:ascii="Calibri" w:hAnsi="Calibri"/>
          <w:color w:val="000000"/>
        </w:rPr>
        <w:t>of</w:t>
      </w:r>
      <w:proofErr w:type="gramEnd"/>
      <w:r>
        <w:rPr>
          <w:rFonts w:ascii="Calibri" w:hAnsi="Calibri"/>
          <w:color w:val="000000"/>
        </w:rPr>
        <w:t xml:space="preserve"> the EAS. The survey was given in both German and English. Sixty-four percent of 985 participants reported memories of incest and 48% of 977 participants reported memories of extreme abuse before they sought therapy. Sixty-nine percent of 257 respondents that reported secret mind control experiments on them when they were children also reported that they were abused in a cult. (Extreme Abuse Surveys)</w:t>
      </w:r>
    </w:p>
    <w:p w14:paraId="54BF14C9"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Of 1007 participants in the EAS, 65% stated that they had been diagnosed with dissociative identity disorder. Higher percentages were found in the C-EAS and the P-EAS. High percentages of physical abuse, sexual abuse from multiple perpetrators and child pornography were found in all three surveys. In the C-EAS, medical evidence consistent with extreme abuse was found in 53% of 80 respondents, psychological symptoms consistent with extreme abuse were found in 91% of the 88 respondents and the symptoms abated when the child was able to </w:t>
      </w:r>
      <w:proofErr w:type="gramStart"/>
      <w:r>
        <w:rPr>
          <w:rFonts w:ascii="Calibri" w:hAnsi="Calibri"/>
          <w:color w:val="000000"/>
        </w:rPr>
        <w:t>tell</w:t>
      </w:r>
      <w:proofErr w:type="gramEnd"/>
      <w:r>
        <w:rPr>
          <w:rFonts w:ascii="Calibri" w:hAnsi="Calibri"/>
          <w:color w:val="000000"/>
        </w:rPr>
        <w:t xml:space="preserve"> about the abuse in 78 respondents (Extreme Abuse Surveys)</w:t>
      </w:r>
    </w:p>
    <w:p w14:paraId="418D3F08"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62B7F1D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b/>
          <w:color w:val="000000"/>
        </w:rPr>
      </w:pPr>
      <w:r>
        <w:rPr>
          <w:rFonts w:ascii="Calibri" w:hAnsi="Calibri"/>
          <w:b/>
          <w:color w:val="000000"/>
        </w:rPr>
        <w:t>What is a Cult?</w:t>
      </w:r>
    </w:p>
    <w:p w14:paraId="45C5C07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 xml:space="preserve">Here is a summary of 10 themes of cult membership Stephen Hassan listed in “Combatting Cult Mind </w:t>
      </w:r>
      <w:proofErr w:type="gramStart"/>
      <w:r>
        <w:rPr>
          <w:rFonts w:ascii="Calibri" w:hAnsi="Calibri"/>
          <w:color w:val="000000"/>
        </w:rPr>
        <w:t>Control</w:t>
      </w:r>
      <w:proofErr w:type="gramEnd"/>
      <w:r>
        <w:rPr>
          <w:rFonts w:ascii="Calibri" w:hAnsi="Calibri"/>
          <w:color w:val="000000"/>
        </w:rPr>
        <w:t>”</w:t>
      </w:r>
    </w:p>
    <w:p w14:paraId="4E7461C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1) The Doctrine is Reality – The cult’s beliefs allow no interpretation or other theories.</w:t>
      </w:r>
    </w:p>
    <w:p w14:paraId="61D7E80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2) Reality is Black and White, Good Versus Evil – no outside group is valid, “no room for</w:t>
      </w:r>
    </w:p>
    <w:p w14:paraId="32EC70F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lastRenderedPageBreak/>
        <w:t>interpretation”</w:t>
      </w:r>
    </w:p>
    <w:p w14:paraId="33B67E36"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3) Elitist Mentality – they are the chosen ones</w:t>
      </w:r>
    </w:p>
    <w:p w14:paraId="7B14A63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4) Group Will Over Individual Will – “the self must submit to the group” “conformity is</w:t>
      </w:r>
    </w:p>
    <w:p w14:paraId="6239B2E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good”</w:t>
      </w:r>
    </w:p>
    <w:p w14:paraId="5A91D5E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5) Strict Obedience: Modeling the Leader – the leader is imitated by everyone</w:t>
      </w:r>
    </w:p>
    <w:p w14:paraId="27C72A4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6) Happiness through good performance – behaviors are controlled by shaming,</w:t>
      </w:r>
    </w:p>
    <w:p w14:paraId="1EACA95A"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competition</w:t>
      </w:r>
    </w:p>
    <w:p w14:paraId="60E99BD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7) Manipulation through fear and guilt – includes exit phobias, the devil, God, communism,</w:t>
      </w:r>
    </w:p>
    <w:p w14:paraId="7D0C5F25"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etc. will hurt you.</w:t>
      </w:r>
    </w:p>
    <w:p w14:paraId="5EAAF8B0"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8) Emotional highs and lows – from great productivity to crashing (due to individual’s</w:t>
      </w:r>
    </w:p>
    <w:p w14:paraId="601367A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inadequacies)</w:t>
      </w:r>
    </w:p>
    <w:p w14:paraId="637C6B33"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9) Changes in Time Orientation – pre-cult life is bad; the present is crucial (pressure to meet</w:t>
      </w:r>
    </w:p>
    <w:p w14:paraId="3729753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quotas, etc.)</w:t>
      </w:r>
    </w:p>
    <w:p w14:paraId="4C81C7B2"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10) No Way Out – There is never a legitimate reason for leaving (Combating Cult Mind Control)</w:t>
      </w:r>
    </w:p>
    <w:p w14:paraId="29D6CAE9"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30331EEB"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Cults also use “love bombing,” lots of flattery early on to “suck people in”. In ritual abuse, fear is used much more often, especially with children. Torture is often used to control peoples’ minds (allowing suggestions to enter the mind), causing DID, instead of fatigue and lectures, though fatigue and starvation may also be used. Ritual abuse suggestions are planted in alternate personalities. A person in the cult may have one belief system for work and day-time society and another for the cult at night.</w:t>
      </w:r>
    </w:p>
    <w:p w14:paraId="3435E1C8"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12238948"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Hassan’s book explains how to recognize and avoid cults. They are often dishonest, having a hidden agenda. (Ritual Abuse and Secret Societies Information Outline)</w:t>
      </w:r>
    </w:p>
    <w:p w14:paraId="7856378A"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Mind control refers to a specific set of methods and techniques, such as hypnosis or thought stopping, that influence how a person thinks, feels, and acts.</w:t>
      </w:r>
    </w:p>
    <w:p w14:paraId="1E9DA5AA"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20E94067"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r>
        <w:rPr>
          <w:rFonts w:ascii="Calibri" w:hAnsi="Calibri"/>
          <w:color w:val="000000"/>
        </w:rPr>
        <w:t>Steven Hassan developed the BITE Model to describe cults’ specific methods to recruit and maintain control over people. “BITE” stands for Behavior, Information, Thought, and Emotional control. The BITE model should be used within the Influence Continuum Model to help determine authoritarian control. Not every group or relationship uses every one of these. Some are universal such as deception (Information control), indoctrinating people to distrust critics and former members, or installing phobias to make people afraid of questioning or leaving. (BITE Model of Authoritarian Control)</w:t>
      </w:r>
    </w:p>
    <w:p w14:paraId="2F587A7F"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Calibri" w:hAnsi="Calibri"/>
          <w:color w:val="000000"/>
        </w:rPr>
      </w:pPr>
    </w:p>
    <w:p w14:paraId="7060341F" w14:textId="77777777" w:rsidR="007A33C9" w:rsidRDefault="000000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line="0" w:lineRule="atLeast"/>
        <w:rPr>
          <w:rFonts w:ascii="Calibri" w:hAnsi="Calibri"/>
          <w:color w:val="000000"/>
        </w:rPr>
      </w:pPr>
      <w:r>
        <w:rPr>
          <w:rFonts w:ascii="Calibri" w:hAnsi="Calibri"/>
          <w:color w:val="000000"/>
        </w:rPr>
        <w:t xml:space="preserve">Full list of references available at: </w:t>
      </w:r>
      <w:hyperlink r:id="rId25" w:history="1">
        <w:r>
          <w:rPr>
            <w:rStyle w:val="WPHyperlink"/>
            <w:rFonts w:ascii="Calibri" w:hAnsi="Calibri"/>
          </w:rPr>
          <w:t>https://ritualabuse.us/mindcontrol/ritual-abuse-sex-trafficking-and-mind-control/</w:t>
        </w:r>
      </w:hyperlink>
      <w:r>
        <w:rPr>
          <w:rFonts w:ascii="Calibri" w:hAnsi="Calibri"/>
          <w:color w:val="000000"/>
        </w:rPr>
        <w:t xml:space="preserve"> </w:t>
      </w:r>
    </w:p>
    <w:sectPr w:rsidR="007A33C9">
      <w:headerReference w:type="even" r:id="rId26"/>
      <w:headerReference w:type="default" r:id="rId27"/>
      <w:footerReference w:type="even" r:id="rId28"/>
      <w:footerReference w:type="default" r:id="rId29"/>
      <w:type w:val="continuous"/>
      <w:pgSz w:w="12240" w:h="15840"/>
      <w:pgMar w:top="1000" w:right="720" w:bottom="10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D8BD" w14:textId="77777777" w:rsidR="000A2CE3" w:rsidRDefault="000A2CE3">
      <w:r>
        <w:separator/>
      </w:r>
    </w:p>
  </w:endnote>
  <w:endnote w:type="continuationSeparator" w:id="0">
    <w:p w14:paraId="49E9964C" w14:textId="77777777" w:rsidR="000A2CE3" w:rsidRDefault="000A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BF5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DC3E"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509" w14:textId="77777777" w:rsidR="007A33C9" w:rsidRDefault="007A33C9">
    <w:pPr>
      <w:keepNext/>
      <w:keepLines/>
      <w:tabs>
        <w:tab w:val="left" w:pos="0"/>
        <w:tab w:val="center" w:pos="4680"/>
        <w:tab w:val="right" w:pos="9359"/>
        <w:tab w:val="lef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1C89" w14:textId="77777777" w:rsidR="007A33C9" w:rsidRDefault="007A33C9">
    <w:pPr>
      <w:keepNext/>
      <w:keepLines/>
      <w:tabs>
        <w:tab w:val="left" w:pos="0"/>
        <w:tab w:val="center" w:pos="4680"/>
        <w:tab w:val="right" w:pos="9359"/>
        <w:tab w:val="lef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92A8" w14:textId="77777777" w:rsidR="007A33C9" w:rsidRDefault="007A33C9">
    <w:pPr>
      <w:keepNext/>
      <w:keepLines/>
      <w:tabs>
        <w:tab w:val="left" w:pos="0"/>
        <w:tab w:val="center" w:pos="4680"/>
        <w:tab w:val="right" w:pos="9359"/>
        <w:tab w:val="left" w:pos="9360"/>
        <w:tab w:val="left" w:pos="10080"/>
        <w:tab w:val="left" w:pos="1079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1F33" w14:textId="77777777" w:rsidR="007A33C9" w:rsidRDefault="007A33C9">
    <w:pPr>
      <w:keepNext/>
      <w:keepLines/>
      <w:tabs>
        <w:tab w:val="left" w:pos="0"/>
        <w:tab w:val="center" w:pos="4680"/>
        <w:tab w:val="right" w:pos="9359"/>
        <w:tab w:val="left" w:pos="9360"/>
        <w:tab w:val="left" w:pos="10080"/>
        <w:tab w:val="left" w:pos="1079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7E2" w14:textId="77777777" w:rsidR="000A2CE3" w:rsidRDefault="000A2CE3">
      <w:r>
        <w:separator/>
      </w:r>
    </w:p>
  </w:footnote>
  <w:footnote w:type="continuationSeparator" w:id="0">
    <w:p w14:paraId="428FE3BC" w14:textId="77777777" w:rsidR="000A2CE3" w:rsidRDefault="000A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8EB0"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302B" w14:textId="77777777" w:rsidR="007A33C9" w:rsidRDefault="007A33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2190" w14:textId="77777777" w:rsidR="007A33C9" w:rsidRDefault="007A33C9">
    <w:pPr>
      <w:keepNext/>
      <w:keepLines/>
      <w:tabs>
        <w:tab w:val="left" w:pos="0"/>
        <w:tab w:val="center" w:pos="4680"/>
        <w:tab w:val="right" w:pos="9359"/>
        <w:tab w:val="lef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F4BD" w14:textId="77777777" w:rsidR="007A33C9" w:rsidRDefault="007A33C9">
    <w:pPr>
      <w:keepNext/>
      <w:keepLines/>
      <w:tabs>
        <w:tab w:val="left" w:pos="0"/>
        <w:tab w:val="center" w:pos="4680"/>
        <w:tab w:val="right" w:pos="9359"/>
        <w:tab w:val="lef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FCA3" w14:textId="77777777" w:rsidR="007A33C9" w:rsidRDefault="007A33C9">
    <w:pPr>
      <w:keepNext/>
      <w:keepLines/>
      <w:tabs>
        <w:tab w:val="left" w:pos="0"/>
        <w:tab w:val="center" w:pos="4680"/>
        <w:tab w:val="right" w:pos="9359"/>
        <w:tab w:val="left" w:pos="9360"/>
        <w:tab w:val="left" w:pos="10080"/>
        <w:tab w:val="left" w:pos="1079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573" w14:textId="77777777" w:rsidR="007A33C9" w:rsidRDefault="007A33C9">
    <w:pPr>
      <w:keepNext/>
      <w:keepLines/>
      <w:tabs>
        <w:tab w:val="left" w:pos="0"/>
        <w:tab w:val="center" w:pos="4680"/>
        <w:tab w:val="right" w:pos="9359"/>
        <w:tab w:val="left" w:pos="9360"/>
        <w:tab w:val="left" w:pos="10080"/>
        <w:tab w:val="left" w:pos="107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3C9"/>
    <w:rsid w:val="00095394"/>
    <w:rsid w:val="000A2CE3"/>
    <w:rsid w:val="005B04C4"/>
    <w:rsid w:val="007A33C9"/>
    <w:rsid w:val="009E2D5F"/>
    <w:rsid w:val="00B13E82"/>
    <w:rsid w:val="00DF2CAC"/>
    <w:rsid w:val="00FD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8C765"/>
  <w15:docId w15:val="{14EF8B99-DFBE-4871-A3C5-11761965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character" w:customStyle="1" w:styleId="DefaultPara">
    <w:name w:val="Default Para"/>
    <w:basedOn w:val="DefaultParagraphFont"/>
  </w:style>
  <w:style w:type="character" w:customStyle="1" w:styleId="DefaultPara0">
    <w:name w:val="Default Para_0"/>
    <w:basedOn w:val="DefaultParagraphFont"/>
  </w:style>
  <w:style w:type="character" w:customStyle="1" w:styleId="WPEmphasis">
    <w:name w:val="WP_Emphasis"/>
    <w:rPr>
      <w:i/>
    </w:rPr>
  </w:style>
  <w:style w:type="paragraph" w:customStyle="1" w:styleId="Header1">
    <w:name w:val="Header1"/>
    <w:basedOn w:val="Normal"/>
    <w:pPr>
      <w:widowControl w:val="0"/>
      <w:tabs>
        <w:tab w:val="left" w:pos="0"/>
        <w:tab w:val="center" w:pos="4680"/>
        <w:tab w:val="right" w:pos="9359"/>
      </w:tabs>
    </w:pPr>
    <w:rPr>
      <w:rFonts w:ascii="Calibri" w:hAnsi="Calibri"/>
      <w:sz w:val="22"/>
    </w:rPr>
  </w:style>
  <w:style w:type="character" w:customStyle="1" w:styleId="HeaderChar">
    <w:name w:val="Header Char"/>
    <w:basedOn w:val="DefaultParagraphFont"/>
  </w:style>
  <w:style w:type="character" w:customStyle="1" w:styleId="Heading1Ch">
    <w:name w:val="Heading 1 Ch"/>
    <w:rPr>
      <w:rFonts w:ascii="Calibri" w:hAnsi="Calibri"/>
      <w:b/>
      <w:color w:val="008080"/>
      <w:sz w:val="28"/>
    </w:rPr>
  </w:style>
  <w:style w:type="character" w:customStyle="1" w:styleId="Heading3Ch">
    <w:name w:val="Heading 3 Ch"/>
    <w:rPr>
      <w:rFonts w:ascii="Calibri" w:hAnsi="Calibri"/>
      <w:color w:val="000080"/>
      <w:sz w:val="24"/>
    </w:rPr>
  </w:style>
  <w:style w:type="paragraph" w:customStyle="1" w:styleId="L1-1">
    <w:name w:val="L1-1"/>
    <w:basedOn w:val="Normal"/>
    <w:pPr>
      <w:widowControl w:val="0"/>
      <w:ind w:left="720" w:hanging="360"/>
    </w:pPr>
  </w:style>
  <w:style w:type="paragraph" w:customStyle="1" w:styleId="L1-2">
    <w:name w:val="L1-2"/>
    <w:basedOn w:val="Normal"/>
    <w:pPr>
      <w:widowControl w:val="0"/>
      <w:ind w:left="1440" w:hanging="360"/>
    </w:pPr>
  </w:style>
  <w:style w:type="paragraph" w:customStyle="1" w:styleId="L1-3">
    <w:name w:val="L1-3"/>
    <w:basedOn w:val="Normal"/>
    <w:pPr>
      <w:widowControl w:val="0"/>
      <w:ind w:left="2160" w:hanging="180"/>
    </w:pPr>
  </w:style>
  <w:style w:type="paragraph" w:customStyle="1" w:styleId="L1-4">
    <w:name w:val="L1-4"/>
    <w:basedOn w:val="Normal"/>
    <w:pPr>
      <w:widowControl w:val="0"/>
      <w:ind w:left="2880" w:hanging="360"/>
    </w:pPr>
  </w:style>
  <w:style w:type="paragraph" w:customStyle="1" w:styleId="L1-5">
    <w:name w:val="L1-5"/>
    <w:basedOn w:val="Normal"/>
    <w:pPr>
      <w:widowControl w:val="0"/>
      <w:ind w:left="3600" w:hanging="360"/>
    </w:pPr>
  </w:style>
  <w:style w:type="paragraph" w:customStyle="1" w:styleId="L1-6">
    <w:name w:val="L1-6"/>
    <w:basedOn w:val="Normal"/>
    <w:pPr>
      <w:widowControl w:val="0"/>
      <w:ind w:left="4320" w:hanging="180"/>
    </w:pPr>
  </w:style>
  <w:style w:type="paragraph" w:customStyle="1" w:styleId="L1-7">
    <w:name w:val="L1-7"/>
    <w:basedOn w:val="Normal"/>
    <w:pPr>
      <w:widowControl w:val="0"/>
      <w:ind w:left="5040" w:hanging="360"/>
    </w:pPr>
  </w:style>
  <w:style w:type="paragraph" w:customStyle="1" w:styleId="L1-8">
    <w:name w:val="L1-8"/>
    <w:basedOn w:val="Normal"/>
    <w:pPr>
      <w:widowControl w:val="0"/>
      <w:ind w:left="5760" w:hanging="360"/>
    </w:pPr>
  </w:style>
  <w:style w:type="paragraph" w:customStyle="1" w:styleId="L1-9">
    <w:name w:val="L1-9"/>
    <w:basedOn w:val="Normal"/>
    <w:pPr>
      <w:widowControl w:val="0"/>
      <w:ind w:left="6480" w:hanging="180"/>
    </w:pPr>
  </w:style>
  <w:style w:type="paragraph" w:customStyle="1" w:styleId="ListParagra">
    <w:name w:val="List Paragra"/>
    <w:basedOn w:val="Normal"/>
    <w:pPr>
      <w:widowControl w:val="0"/>
      <w:ind w:left="720"/>
    </w:pPr>
    <w:rPr>
      <w:rFonts w:ascii="Calibri" w:hAnsi="Calibri"/>
      <w:sz w:val="22"/>
    </w:rPr>
  </w:style>
  <w:style w:type="character" w:customStyle="1" w:styleId="NoList1">
    <w:name w:val="No List1"/>
    <w:basedOn w:val="DefaultParagraphFont"/>
  </w:style>
  <w:style w:type="character" w:customStyle="1" w:styleId="NoList10">
    <w:name w:val="No List1"/>
    <w:basedOn w:val="DefaultParagraphFont"/>
  </w:style>
  <w:style w:type="paragraph" w:customStyle="1" w:styleId="NormalWeb1">
    <w:name w:val="Normal (Web)1"/>
    <w:basedOn w:val="Normal"/>
    <w:pPr>
      <w:widowControl w:val="0"/>
      <w:spacing w:after="100"/>
    </w:pPr>
  </w:style>
  <w:style w:type="character" w:customStyle="1" w:styleId="UnresolvedM">
    <w:name w:val="Unresolved M"/>
    <w:rPr>
      <w:color w:val="808080"/>
    </w:rPr>
  </w:style>
  <w:style w:type="paragraph" w:customStyle="1" w:styleId="WPHeading1">
    <w:name w:val="WP_Heading 1"/>
    <w:basedOn w:val="Normal"/>
    <w:pPr>
      <w:widowControl w:val="0"/>
    </w:pPr>
    <w:rPr>
      <w:rFonts w:ascii="Calibri" w:hAnsi="Calibri"/>
      <w:b/>
      <w:color w:val="008080"/>
      <w:sz w:val="28"/>
    </w:rPr>
  </w:style>
  <w:style w:type="paragraph" w:customStyle="1" w:styleId="WPHeading3">
    <w:name w:val="WP_Heading 3"/>
    <w:basedOn w:val="Normal"/>
    <w:pPr>
      <w:widowControl w:val="0"/>
    </w:pPr>
    <w:rPr>
      <w:rFonts w:ascii="Calibri" w:hAnsi="Calibri"/>
      <w:color w:val="000080"/>
    </w:rPr>
  </w:style>
  <w:style w:type="character" w:customStyle="1" w:styleId="WPHyperlink">
    <w:name w:val="WP_Hyperlink"/>
    <w:rPr>
      <w:color w:val="0000FF"/>
      <w:u w:val="single"/>
    </w:rPr>
  </w:style>
  <w:style w:type="character" w:customStyle="1" w:styleId="WPStrong">
    <w:name w:val="WP_Strong"/>
    <w:rPr>
      <w:b/>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rvivorship.org/the-survivorship-trafficking-and-extreme-abuse-online-co" TargetMode="External"/><Relationship Id="rId13" Type="http://schemas.openxmlformats.org/officeDocument/2006/relationships/footer" Target="footer2.xml"/><Relationship Id="rId18" Type="http://schemas.openxmlformats.org/officeDocument/2006/relationships/hyperlink" Target="https://psycnet.apa.org/doi/10.1037/spq0000621" TargetMode="External"/><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yperlink" Target="https://doi.org/10.1111/jpm.12947" TargetMode="External"/><Relationship Id="rId7" Type="http://schemas.openxmlformats.org/officeDocument/2006/relationships/hyperlink" Target="mailto:info@survivorship.org"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ritualabuse.us/mindcontrol/ritual-abuse-sex-trafficking-and-mind-control/" TargetMode="Externa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doi.org/10.1037/tra0001461" TargetMode="External"/><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24" Type="http://schemas.openxmlformats.org/officeDocument/2006/relationships/hyperlink" Target="https://ritualabuse.us/mindcontrol/ritual-abuse-sex-trafficking-and-mind-control/" TargetMode="Externa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ritualabuse.us/ritualabuse/books/after-amnesia-and-during-a-memoir-by-wen"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doi.org/10.1016/j.chc.2020.09.002"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urvivorship.org/the-survivorship-ritual-abuse-and-mind-control-2023-conf" TargetMode="External"/><Relationship Id="rId14" Type="http://schemas.openxmlformats.org/officeDocument/2006/relationships/header" Target="header3.xml"/><Relationship Id="rId22" Type="http://schemas.openxmlformats.org/officeDocument/2006/relationships/hyperlink" Target="https://doi.org/10.1016/j.jad.2023.12.058"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7809</Words>
  <Characters>44514</Characters>
  <Application>Microsoft Office Word</Application>
  <DocSecurity>0</DocSecurity>
  <Lines>370</Lines>
  <Paragraphs>104</Paragraphs>
  <ScaleCrop>false</ScaleCrop>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Brick</cp:lastModifiedBy>
  <cp:revision>6</cp:revision>
  <dcterms:created xsi:type="dcterms:W3CDTF">2024-02-21T23:18:00Z</dcterms:created>
  <dcterms:modified xsi:type="dcterms:W3CDTF">2024-02-21T23:23:00Z</dcterms:modified>
</cp:coreProperties>
</file>